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F4" w:rsidRDefault="00C62CF4">
      <w:pPr>
        <w:pStyle w:val="Moteoverskrift"/>
      </w:pPr>
      <w:r>
        <w:t>Notat</w:t>
      </w:r>
    </w:p>
    <w:tbl>
      <w:tblPr>
        <w:tblW w:w="0" w:type="auto"/>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220"/>
        <w:gridCol w:w="8494"/>
      </w:tblGrid>
      <w:tr w:rsidR="00C62CF4">
        <w:tblPrEx>
          <w:tblCellMar>
            <w:top w:w="0" w:type="dxa"/>
            <w:bottom w:w="0" w:type="dxa"/>
          </w:tblCellMar>
        </w:tblPrEx>
        <w:trPr>
          <w:cantSplit/>
        </w:trPr>
        <w:tc>
          <w:tcPr>
            <w:tcW w:w="1220" w:type="dxa"/>
          </w:tcPr>
          <w:p w:rsidR="00C62CF4" w:rsidRDefault="00C62CF4">
            <w:pPr>
              <w:pStyle w:val="Innkallingsskrift"/>
            </w:pPr>
            <w:r>
              <w:t>Til:</w:t>
            </w:r>
          </w:p>
        </w:tc>
        <w:tc>
          <w:tcPr>
            <w:tcW w:w="8494" w:type="dxa"/>
          </w:tcPr>
          <w:p w:rsidR="00C62CF4" w:rsidRDefault="0018740B">
            <w:pPr>
              <w:pStyle w:val="InnkallingsskriftFyllInn"/>
            </w:pPr>
            <w:bookmarkStart w:id="0" w:name="Til"/>
            <w:bookmarkEnd w:id="0"/>
            <w:r>
              <w:t>NT-fakultetet</w:t>
            </w:r>
          </w:p>
        </w:tc>
      </w:tr>
      <w:tr w:rsidR="00C62CF4">
        <w:tblPrEx>
          <w:tblCellMar>
            <w:top w:w="0" w:type="dxa"/>
            <w:bottom w:w="0" w:type="dxa"/>
          </w:tblCellMar>
        </w:tblPrEx>
        <w:trPr>
          <w:cantSplit/>
        </w:trPr>
        <w:tc>
          <w:tcPr>
            <w:tcW w:w="1220" w:type="dxa"/>
          </w:tcPr>
          <w:p w:rsidR="00C62CF4" w:rsidRDefault="00C62CF4">
            <w:pPr>
              <w:pStyle w:val="Innkallingsskrift"/>
            </w:pPr>
            <w:r>
              <w:t>Kopi til:</w:t>
            </w:r>
          </w:p>
        </w:tc>
        <w:tc>
          <w:tcPr>
            <w:tcW w:w="8494" w:type="dxa"/>
          </w:tcPr>
          <w:p w:rsidR="00C62CF4" w:rsidRDefault="00C62CF4">
            <w:pPr>
              <w:pStyle w:val="InnkallingsskriftFyllInn"/>
            </w:pPr>
            <w:bookmarkStart w:id="1" w:name="Kopi"/>
            <w:bookmarkEnd w:id="1"/>
          </w:p>
        </w:tc>
      </w:tr>
      <w:tr w:rsidR="00C62CF4">
        <w:tblPrEx>
          <w:tblCellMar>
            <w:top w:w="0" w:type="dxa"/>
            <w:bottom w:w="0" w:type="dxa"/>
          </w:tblCellMar>
        </w:tblPrEx>
        <w:trPr>
          <w:cantSplit/>
        </w:trPr>
        <w:tc>
          <w:tcPr>
            <w:tcW w:w="1220" w:type="dxa"/>
          </w:tcPr>
          <w:p w:rsidR="00C62CF4" w:rsidRDefault="00C62CF4">
            <w:pPr>
              <w:pStyle w:val="Innkallingsskrift"/>
            </w:pPr>
            <w:r>
              <w:t>Fra:</w:t>
            </w:r>
          </w:p>
        </w:tc>
        <w:tc>
          <w:tcPr>
            <w:tcW w:w="8494" w:type="dxa"/>
          </w:tcPr>
          <w:p w:rsidR="00C62CF4" w:rsidRDefault="0018740B">
            <w:pPr>
              <w:pStyle w:val="InnkallingsskriftFyllInn"/>
            </w:pPr>
            <w:bookmarkStart w:id="2" w:name="Fra"/>
            <w:bookmarkEnd w:id="2"/>
            <w:r>
              <w:t>Institutt for kjemisk prosessteknologi</w:t>
            </w:r>
          </w:p>
        </w:tc>
      </w:tr>
      <w:tr w:rsidR="00C62CF4">
        <w:tblPrEx>
          <w:tblCellMar>
            <w:top w:w="0" w:type="dxa"/>
            <w:bottom w:w="0" w:type="dxa"/>
          </w:tblCellMar>
        </w:tblPrEx>
        <w:trPr>
          <w:cantSplit/>
        </w:trPr>
        <w:tc>
          <w:tcPr>
            <w:tcW w:w="1220" w:type="dxa"/>
          </w:tcPr>
          <w:p w:rsidR="00C62CF4" w:rsidRDefault="00C62CF4">
            <w:pPr>
              <w:pStyle w:val="Innkallingsskrift"/>
            </w:pPr>
            <w:r>
              <w:t>Signatur:</w:t>
            </w:r>
          </w:p>
        </w:tc>
        <w:tc>
          <w:tcPr>
            <w:tcW w:w="8494" w:type="dxa"/>
          </w:tcPr>
          <w:p w:rsidR="00C62CF4" w:rsidRDefault="00C62CF4">
            <w:pPr>
              <w:pStyle w:val="InnkallingsskriftFyllInn"/>
            </w:pPr>
          </w:p>
        </w:tc>
      </w:tr>
    </w:tbl>
    <w:p w:rsidR="00C62CF4" w:rsidRPr="0018740B" w:rsidRDefault="0018740B">
      <w:pPr>
        <w:pStyle w:val="Overskrift1"/>
        <w:rPr>
          <w:rFonts w:asciiTheme="minorHAnsi" w:hAnsiTheme="minorHAnsi" w:cstheme="minorHAnsi"/>
          <w:sz w:val="24"/>
          <w:szCs w:val="24"/>
        </w:rPr>
      </w:pPr>
      <w:bookmarkStart w:id="3" w:name="overskrift"/>
      <w:bookmarkEnd w:id="3"/>
      <w:r w:rsidRPr="0018740B">
        <w:rPr>
          <w:rFonts w:asciiTheme="minorHAnsi" w:hAnsiTheme="minorHAnsi" w:cstheme="minorHAnsi"/>
          <w:sz w:val="24"/>
          <w:szCs w:val="24"/>
        </w:rPr>
        <w:t>Midtveisoppfølging av kjemievalueringen</w:t>
      </w:r>
    </w:p>
    <w:p w:rsidR="0018740B" w:rsidRPr="0018740B" w:rsidRDefault="0018740B" w:rsidP="0018740B">
      <w:pPr>
        <w:rPr>
          <w:rFonts w:asciiTheme="minorHAnsi" w:hAnsiTheme="minorHAnsi" w:cstheme="minorHAnsi"/>
          <w:lang w:val="nb-NO"/>
        </w:rPr>
      </w:pPr>
      <w:bookmarkStart w:id="4" w:name="start"/>
      <w:bookmarkEnd w:id="4"/>
      <w:r w:rsidRPr="0018740B">
        <w:rPr>
          <w:rFonts w:asciiTheme="minorHAnsi" w:hAnsiTheme="minorHAnsi" w:cstheme="minorHAnsi"/>
          <w:lang w:val="nb-NO"/>
        </w:rPr>
        <w:t>Oppfølgingsrapporten fra fagplanutvalget oppsummerer situasjonen for Institutt for kjemisk prosessteknologi slik i 2009: «Kjemisk prosessteknologi ved NTNU står totalt sett meget sterkt og forskningen er meget relevant for Norge». Videre gis det spesifikke anbefalinger til faggruppene, hvor videreføring av sterk virksomhet er anbefalt; dette er ivaretatt både i strategier og gjennom prioriteringer og nye stillinger siden 2009. En del forslag til styrking er også nevnt:</w:t>
      </w:r>
    </w:p>
    <w:p w:rsidR="0018740B" w:rsidRPr="0018740B" w:rsidRDefault="0018740B" w:rsidP="0018740B">
      <w:pPr>
        <w:pStyle w:val="Listeavsnitt"/>
        <w:numPr>
          <w:ilvl w:val="0"/>
          <w:numId w:val="2"/>
        </w:numPr>
        <w:autoSpaceDE w:val="0"/>
        <w:autoSpaceDN w:val="0"/>
        <w:adjustRightInd w:val="0"/>
        <w:spacing w:after="0" w:line="240" w:lineRule="auto"/>
        <w:ind w:left="445"/>
        <w:rPr>
          <w:rFonts w:asciiTheme="minorHAnsi" w:hAnsiTheme="minorHAnsi" w:cstheme="minorHAnsi"/>
          <w:sz w:val="24"/>
          <w:szCs w:val="24"/>
          <w:lang w:val="nb-NO"/>
        </w:rPr>
      </w:pPr>
      <w:r w:rsidRPr="0018740B">
        <w:rPr>
          <w:rFonts w:asciiTheme="minorHAnsi" w:hAnsiTheme="minorHAnsi" w:cstheme="minorHAnsi"/>
          <w:sz w:val="24"/>
          <w:szCs w:val="24"/>
          <w:lang w:val="nb-NO"/>
        </w:rPr>
        <w:t>Overflate og kolloidkjemi: Her foreslås det at ..» Den eksperimentelle virksomheten kan ytterlige styrkes gjennom NTNU NanoLab», dette er fulgt opp, bl.a</w:t>
      </w:r>
      <w:r>
        <w:rPr>
          <w:rFonts w:asciiTheme="minorHAnsi" w:hAnsiTheme="minorHAnsi" w:cstheme="minorHAnsi"/>
          <w:sz w:val="24"/>
          <w:szCs w:val="24"/>
          <w:lang w:val="nb-NO"/>
        </w:rPr>
        <w:t>.</w:t>
      </w:r>
      <w:r w:rsidRPr="0018740B">
        <w:rPr>
          <w:rFonts w:asciiTheme="minorHAnsi" w:hAnsiTheme="minorHAnsi" w:cstheme="minorHAnsi"/>
          <w:sz w:val="24"/>
          <w:szCs w:val="24"/>
          <w:lang w:val="nb-NO"/>
        </w:rPr>
        <w:t xml:space="preserve"> gjennom prosjektsamarbeid og postdoc med delt arbeidssted. I tillegg anbefales det et tettere samarbeid med «papir og fiberteknologigruppen», dette er </w:t>
      </w:r>
      <w:r>
        <w:rPr>
          <w:rFonts w:asciiTheme="minorHAnsi" w:hAnsiTheme="minorHAnsi" w:cstheme="minorHAnsi"/>
          <w:sz w:val="24"/>
          <w:szCs w:val="24"/>
          <w:lang w:val="nb-NO"/>
        </w:rPr>
        <w:t xml:space="preserve">også </w:t>
      </w:r>
      <w:r w:rsidRPr="0018740B">
        <w:rPr>
          <w:rFonts w:asciiTheme="minorHAnsi" w:hAnsiTheme="minorHAnsi" w:cstheme="minorHAnsi"/>
          <w:sz w:val="24"/>
          <w:szCs w:val="24"/>
          <w:lang w:val="nb-NO"/>
        </w:rPr>
        <w:t>på plass gjennom prosjektsamarbeid.</w:t>
      </w:r>
    </w:p>
    <w:p w:rsidR="0018740B" w:rsidRPr="0018740B" w:rsidRDefault="0018740B" w:rsidP="0018740B">
      <w:pPr>
        <w:pStyle w:val="Listeavsnitt"/>
        <w:numPr>
          <w:ilvl w:val="0"/>
          <w:numId w:val="1"/>
        </w:numPr>
        <w:autoSpaceDE w:val="0"/>
        <w:autoSpaceDN w:val="0"/>
        <w:adjustRightInd w:val="0"/>
        <w:spacing w:after="0" w:line="240" w:lineRule="auto"/>
        <w:ind w:left="445"/>
        <w:rPr>
          <w:rFonts w:asciiTheme="minorHAnsi" w:hAnsiTheme="minorHAnsi" w:cstheme="minorHAnsi"/>
          <w:sz w:val="24"/>
          <w:szCs w:val="24"/>
          <w:lang w:val="nb-NO"/>
        </w:rPr>
      </w:pPr>
      <w:r w:rsidRPr="0018740B">
        <w:rPr>
          <w:rFonts w:asciiTheme="minorHAnsi" w:hAnsiTheme="minorHAnsi" w:cstheme="minorHAnsi"/>
          <w:sz w:val="24"/>
          <w:szCs w:val="24"/>
          <w:lang w:val="nb-NO"/>
        </w:rPr>
        <w:t>Katalyse: ..» bør i tillegg til fokus på naturgass posisjonere seg mot nye områder som bioenergi, miljøteknologi, fotokatalyse og brenselceller».  Alle disse temaene er etablert som en viktig del av prosjektporteføljen og utgjør nå en vesentlig del av forskningen.</w:t>
      </w:r>
    </w:p>
    <w:p w:rsidR="0018740B" w:rsidRPr="0018740B" w:rsidRDefault="0018740B" w:rsidP="0018740B">
      <w:pPr>
        <w:pStyle w:val="Listeavsnitt"/>
        <w:numPr>
          <w:ilvl w:val="0"/>
          <w:numId w:val="1"/>
        </w:numPr>
        <w:autoSpaceDE w:val="0"/>
        <w:autoSpaceDN w:val="0"/>
        <w:adjustRightInd w:val="0"/>
        <w:spacing w:after="0" w:line="240" w:lineRule="auto"/>
        <w:ind w:left="445"/>
        <w:rPr>
          <w:rFonts w:asciiTheme="minorHAnsi" w:hAnsiTheme="minorHAnsi" w:cstheme="minorHAnsi"/>
          <w:sz w:val="24"/>
          <w:szCs w:val="24"/>
          <w:lang w:val="nb-NO"/>
        </w:rPr>
      </w:pPr>
      <w:r w:rsidRPr="0018740B">
        <w:rPr>
          <w:rFonts w:asciiTheme="minorHAnsi" w:hAnsiTheme="minorHAnsi" w:cstheme="minorHAnsi"/>
          <w:sz w:val="24"/>
          <w:szCs w:val="24"/>
          <w:lang w:val="nb-NO"/>
        </w:rPr>
        <w:t>Bioraffineri og fiberteknologi (som den gang het Gruppen for papir- og fiberteknologi) ble anbefalt å..» videreføre satsning mot bioenergi og bruk av cellulose som materiale i samarbeid med andre grupper, internt og eksternt.» Dette er gjennomført, men aktiviteten er fortsatt liten og gruppen søker aktivt nye samarbeidskonstellasjoner, bl.a. mot Inst. for Bioteknologi, også dette i tråd med anbefalingen fra fagplanutvalget.</w:t>
      </w:r>
    </w:p>
    <w:p w:rsidR="0018740B" w:rsidRPr="0018740B" w:rsidRDefault="0018740B" w:rsidP="0018740B">
      <w:pPr>
        <w:pStyle w:val="Listeavsnitt"/>
        <w:numPr>
          <w:ilvl w:val="0"/>
          <w:numId w:val="1"/>
        </w:numPr>
        <w:autoSpaceDE w:val="0"/>
        <w:autoSpaceDN w:val="0"/>
        <w:adjustRightInd w:val="0"/>
        <w:spacing w:after="0" w:line="240" w:lineRule="auto"/>
        <w:ind w:left="445"/>
        <w:rPr>
          <w:rFonts w:asciiTheme="minorHAnsi" w:hAnsiTheme="minorHAnsi" w:cstheme="minorHAnsi"/>
          <w:sz w:val="24"/>
          <w:szCs w:val="24"/>
          <w:lang w:val="nb-NO"/>
        </w:rPr>
      </w:pPr>
      <w:r w:rsidRPr="0018740B">
        <w:rPr>
          <w:rFonts w:asciiTheme="minorHAnsi" w:hAnsiTheme="minorHAnsi" w:cstheme="minorHAnsi"/>
          <w:sz w:val="24"/>
          <w:szCs w:val="24"/>
          <w:lang w:val="nb-NO"/>
        </w:rPr>
        <w:t>Miljø og reaktorteknologi ble anbefalt å «styrke og videreutvikle forskningen relatert til CO2-fangst og membranteknologi, samt å styrke grunnleggende teknologisk forskning.», dette er godt ivaretatt og utgjør en stor del av porteføljen. I tillegg ble området krystallisasjon nevnt spesielt: «Krystallisasjonsgruppa bør styrke samarbeid internt eller eksternt», noe som er i ferd med å skje gjennom nye prosjekter</w:t>
      </w:r>
    </w:p>
    <w:p w:rsidR="0018740B" w:rsidRPr="0018740B" w:rsidRDefault="0018740B" w:rsidP="0018740B">
      <w:pPr>
        <w:pStyle w:val="Listeavsnitt"/>
        <w:numPr>
          <w:ilvl w:val="0"/>
          <w:numId w:val="1"/>
        </w:numPr>
        <w:autoSpaceDE w:val="0"/>
        <w:autoSpaceDN w:val="0"/>
        <w:adjustRightInd w:val="0"/>
        <w:spacing w:after="0" w:line="240" w:lineRule="auto"/>
        <w:ind w:left="445"/>
        <w:rPr>
          <w:rFonts w:asciiTheme="minorHAnsi" w:hAnsiTheme="minorHAnsi" w:cstheme="minorHAnsi"/>
          <w:sz w:val="24"/>
          <w:szCs w:val="24"/>
          <w:lang w:val="nb-NO"/>
        </w:rPr>
      </w:pPr>
      <w:r w:rsidRPr="0018740B">
        <w:rPr>
          <w:rFonts w:asciiTheme="minorHAnsi" w:hAnsiTheme="minorHAnsi" w:cstheme="minorHAnsi"/>
          <w:sz w:val="24"/>
          <w:szCs w:val="24"/>
          <w:lang w:val="nb-NO"/>
        </w:rPr>
        <w:t xml:space="preserve">Prosess systemteknikk ble anbefalt å:..» ytterligere styrke sin aktivitet via et utvidet internt samarbeid og med en revitalisering av samarbeidet med de øvrige miljøene i prosess-systemteknikk ved NTNU og SINTEF». IKPs strategi er i tråd med dette, i tillegg er dette fagområdet sentralt i vår nye satsing på subsea-teknologi. </w:t>
      </w:r>
    </w:p>
    <w:p w:rsidR="0018740B" w:rsidRPr="0018740B" w:rsidRDefault="0018740B" w:rsidP="0018740B">
      <w:pPr>
        <w:pStyle w:val="Listeavsnitt"/>
        <w:autoSpaceDE w:val="0"/>
        <w:autoSpaceDN w:val="0"/>
        <w:adjustRightInd w:val="0"/>
        <w:spacing w:after="0" w:line="240" w:lineRule="auto"/>
        <w:ind w:left="445"/>
        <w:rPr>
          <w:rFonts w:asciiTheme="minorHAnsi" w:hAnsiTheme="minorHAnsi" w:cstheme="minorHAnsi"/>
          <w:sz w:val="24"/>
          <w:szCs w:val="24"/>
          <w:lang w:val="nb-NO"/>
        </w:rPr>
      </w:pPr>
    </w:p>
    <w:p w:rsidR="0018740B" w:rsidRDefault="0018740B" w:rsidP="0018740B">
      <w:pPr>
        <w:pStyle w:val="Listeavsnitt"/>
        <w:autoSpaceDE w:val="0"/>
        <w:autoSpaceDN w:val="0"/>
        <w:adjustRightInd w:val="0"/>
        <w:spacing w:after="0" w:line="240" w:lineRule="auto"/>
        <w:ind w:left="0"/>
        <w:rPr>
          <w:rFonts w:asciiTheme="minorHAnsi" w:hAnsiTheme="minorHAnsi" w:cstheme="minorHAnsi"/>
          <w:sz w:val="24"/>
          <w:szCs w:val="24"/>
          <w:lang w:val="nb-NO"/>
        </w:rPr>
      </w:pPr>
      <w:r w:rsidRPr="0018740B">
        <w:rPr>
          <w:rFonts w:asciiTheme="minorHAnsi" w:hAnsiTheme="minorHAnsi" w:cstheme="minorHAnsi"/>
          <w:sz w:val="24"/>
          <w:szCs w:val="24"/>
          <w:lang w:val="nb-NO"/>
        </w:rPr>
        <w:lastRenderedPageBreak/>
        <w:t xml:space="preserve">I tillegg kan nevnes at IKP har etablert en stilling i beregningskjemi, i tråd med anbefalingene om å øke samarbeidet mellom IKP og teoretisk kjemi-miljøet i ved IKJ. Denne stillingen er knyttet til Overflate-og kolloidkjemi. Koblingen mot bioteknologi som ble anbefalt er som nevnt styrket gjennom et </w:t>
      </w:r>
      <w:r>
        <w:rPr>
          <w:rFonts w:asciiTheme="minorHAnsi" w:hAnsiTheme="minorHAnsi" w:cstheme="minorHAnsi"/>
          <w:sz w:val="24"/>
          <w:szCs w:val="24"/>
          <w:lang w:val="nb-NO"/>
        </w:rPr>
        <w:t>samarbeid, som i første omgang dekker undervisning.</w:t>
      </w:r>
    </w:p>
    <w:p w:rsidR="0018740B" w:rsidRPr="0018740B" w:rsidRDefault="0018740B" w:rsidP="0018740B">
      <w:pPr>
        <w:pStyle w:val="Listeavsnitt"/>
        <w:autoSpaceDE w:val="0"/>
        <w:autoSpaceDN w:val="0"/>
        <w:adjustRightInd w:val="0"/>
        <w:spacing w:after="0" w:line="240" w:lineRule="auto"/>
        <w:ind w:left="0"/>
        <w:rPr>
          <w:rFonts w:asciiTheme="minorHAnsi" w:hAnsiTheme="minorHAnsi" w:cstheme="minorHAnsi"/>
          <w:sz w:val="24"/>
          <w:szCs w:val="24"/>
          <w:lang w:val="nb-NO"/>
        </w:rPr>
      </w:pPr>
    </w:p>
    <w:p w:rsidR="00C62CF4" w:rsidRPr="0018740B" w:rsidRDefault="00C62CF4">
      <w:pPr>
        <w:rPr>
          <w:rFonts w:asciiTheme="minorHAnsi" w:hAnsiTheme="minorHAnsi" w:cstheme="minorHAnsi"/>
          <w:lang w:val="nb-NO"/>
        </w:rPr>
      </w:pPr>
      <w:bookmarkStart w:id="5" w:name="_GoBack"/>
      <w:bookmarkEnd w:id="5"/>
    </w:p>
    <w:sectPr w:rsidR="00C62CF4" w:rsidRPr="0018740B">
      <w:headerReference w:type="default" r:id="rId8"/>
      <w:headerReference w:type="first" r:id="rId9"/>
      <w:footerReference w:type="first" r:id="rId10"/>
      <w:type w:val="continuous"/>
      <w:pgSz w:w="11906" w:h="16838" w:code="9"/>
      <w:pgMar w:top="1871" w:right="1049" w:bottom="2308" w:left="1049"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D66" w:rsidRDefault="00327D66">
      <w:r>
        <w:separator/>
      </w:r>
    </w:p>
  </w:endnote>
  <w:endnote w:type="continuationSeparator" w:id="0">
    <w:p w:rsidR="00327D66" w:rsidRDefault="0032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F4" w:rsidRDefault="00C62CF4">
    <w:pPr>
      <w:pStyle w:val="Bunntekst"/>
      <w:pBdr>
        <w:bottom w:val="single" w:sz="4" w:space="1" w:color="auto"/>
      </w:pBdr>
    </w:pPr>
  </w:p>
  <w:p w:rsidR="00C62CF4" w:rsidRDefault="00C62CF4">
    <w:pPr>
      <w:pStyle w:val="FooterFet"/>
      <w:rPr>
        <w:bCs/>
      </w:rPr>
    </w:pPr>
    <w:r>
      <w:t>Postadresse</w:t>
    </w:r>
    <w:r>
      <w:tab/>
      <w:t xml:space="preserve">Org.nr. </w:t>
    </w:r>
    <w:r>
      <w:rPr>
        <w:b w:val="0"/>
        <w:bCs/>
      </w:rPr>
      <w:t>974 767 880</w:t>
    </w:r>
    <w:r>
      <w:rPr>
        <w:bCs/>
      </w:rPr>
      <w:tab/>
    </w:r>
    <w:r>
      <w:t>Besøksadresse</w:t>
    </w:r>
    <w:r>
      <w:tab/>
      <w:t>Telefon</w:t>
    </w:r>
    <w:r>
      <w:tab/>
    </w:r>
    <w:bookmarkStart w:id="10" w:name="tittel"/>
    <w:bookmarkEnd w:id="10"/>
    <w:r w:rsidR="0018740B">
      <w:t>Instituttleder</w:t>
    </w:r>
  </w:p>
  <w:p w:rsidR="00C62CF4" w:rsidRPr="001A0A18" w:rsidRDefault="008015FF">
    <w:pPr>
      <w:pStyle w:val="FooterTekst"/>
    </w:pPr>
    <w:r>
      <w:t>7491 Trondheim</w:t>
    </w:r>
    <w:r w:rsidR="00C62CF4">
      <w:tab/>
    </w:r>
    <w:r w:rsidR="00C62CF4" w:rsidRPr="001A0A18">
      <w:t>E-post:</w:t>
    </w:r>
    <w:r w:rsidR="00C62CF4" w:rsidRPr="001A0A18">
      <w:tab/>
    </w:r>
    <w:r w:rsidRPr="001A0A18">
      <w:t>Kjemiblokk 5, 1. etg</w:t>
    </w:r>
    <w:r w:rsidR="00C62CF4" w:rsidRPr="001A0A18">
      <w:tab/>
      <w:t xml:space="preserve">+ 47 </w:t>
    </w:r>
    <w:r w:rsidRPr="001A0A18">
      <w:t>73 59 40 30</w:t>
    </w:r>
    <w:r w:rsidR="00C62CF4" w:rsidRPr="001A0A18">
      <w:tab/>
    </w:r>
    <w:bookmarkStart w:id="11" w:name="Navn"/>
    <w:bookmarkEnd w:id="11"/>
    <w:r w:rsidR="0018740B">
      <w:t>Edd Anders Blekkan</w:t>
    </w:r>
  </w:p>
  <w:p w:rsidR="00C62CF4" w:rsidRDefault="00C62CF4">
    <w:pPr>
      <w:pStyle w:val="FooterTekst"/>
    </w:pPr>
    <w:r w:rsidRPr="001A0A18">
      <w:tab/>
    </w:r>
    <w:r w:rsidR="008015FF" w:rsidRPr="001A0A18">
      <w:t>postmottak@chemeng.ntnu.no </w:t>
    </w:r>
    <w:r w:rsidRPr="001A0A18">
      <w:tab/>
    </w:r>
    <w:r w:rsidR="008015FF" w:rsidRPr="001A0A18">
      <w:t>Sem Sælandsvei 4</w:t>
    </w:r>
    <w:r w:rsidRPr="001A0A18">
      <w:tab/>
    </w:r>
    <w:r>
      <w:rPr>
        <w:rFonts w:ascii="Arial" w:hAnsi="Arial"/>
        <w:b/>
      </w:rPr>
      <w:t>Telefaks</w:t>
    </w:r>
    <w:r>
      <w:tab/>
    </w:r>
    <w:bookmarkStart w:id="12" w:name="Navn2"/>
    <w:bookmarkEnd w:id="12"/>
  </w:p>
  <w:p w:rsidR="00C62CF4" w:rsidRPr="0018740B" w:rsidRDefault="00C62CF4">
    <w:pPr>
      <w:pStyle w:val="FooterTekst"/>
      <w:rPr>
        <w:lang w:val="nn-NO"/>
      </w:rPr>
    </w:pPr>
    <w:r>
      <w:tab/>
    </w:r>
    <w:r w:rsidRPr="0018740B">
      <w:rPr>
        <w:lang w:val="nn-NO"/>
      </w:rPr>
      <w:t>http://</w:t>
    </w:r>
    <w:r w:rsidR="008015FF" w:rsidRPr="0018740B">
      <w:rPr>
        <w:lang w:val="nn-NO"/>
      </w:rPr>
      <w:t>www.chemeng.ntnu.no</w:t>
    </w:r>
    <w:r w:rsidRPr="0018740B">
      <w:rPr>
        <w:lang w:val="nn-NO"/>
      </w:rPr>
      <w:tab/>
    </w:r>
    <w:r w:rsidR="008015FF" w:rsidRPr="0018740B">
      <w:rPr>
        <w:lang w:val="nn-NO"/>
      </w:rPr>
      <w:t>7034 Trondheim</w:t>
    </w:r>
    <w:r w:rsidRPr="0018740B">
      <w:rPr>
        <w:lang w:val="nn-NO"/>
      </w:rPr>
      <w:tab/>
      <w:t xml:space="preserve">+ 47 </w:t>
    </w:r>
    <w:r w:rsidR="008015FF" w:rsidRPr="0018740B">
      <w:rPr>
        <w:lang w:val="nn-NO"/>
      </w:rPr>
      <w:t>73 59 40 80</w:t>
    </w:r>
    <w:r w:rsidRPr="0018740B">
      <w:rPr>
        <w:lang w:val="nn-NO"/>
      </w:rPr>
      <w:tab/>
      <w:t xml:space="preserve">Tlf: + 47 </w:t>
    </w:r>
    <w:bookmarkStart w:id="13" w:name="Tlf"/>
    <w:bookmarkEnd w:id="13"/>
    <w:r w:rsidR="0018740B" w:rsidRPr="0018740B">
      <w:rPr>
        <w:lang w:val="nn-NO"/>
      </w:rPr>
      <w:t>(735)94157</w:t>
    </w:r>
  </w:p>
  <w:p w:rsidR="00C62CF4" w:rsidRPr="0018740B" w:rsidRDefault="00C62CF4">
    <w:pPr>
      <w:pStyle w:val="Bunntekst"/>
      <w:rPr>
        <w:sz w:val="6"/>
        <w:lang w:val="nn-NO"/>
      </w:rPr>
    </w:pPr>
  </w:p>
  <w:p w:rsidR="00C62CF4" w:rsidRDefault="00C62CF4">
    <w:pPr>
      <w:pStyle w:val="FooterGraa"/>
    </w:pPr>
    <w:r>
      <w:t>All korrespondanse som inngår i saksbehandling skal adresseres til saksbehandlende enhet ved NTNU og ikke direkte til enkeltpersoner. Ved henvendelse vennligst oppgi referanse.</w:t>
    </w:r>
  </w:p>
  <w:p w:rsidR="00C62CF4" w:rsidRDefault="00C62CF4">
    <w:pPr>
      <w:pStyle w:val="Bunntekst"/>
      <w:rPr>
        <w:lang w:val="nb-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D66" w:rsidRDefault="00327D66">
      <w:r>
        <w:separator/>
      </w:r>
    </w:p>
  </w:footnote>
  <w:footnote w:type="continuationSeparator" w:id="0">
    <w:p w:rsidR="00327D66" w:rsidRDefault="00327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F4" w:rsidRDefault="00C62CF4">
    <w:pPr>
      <w:pStyle w:val="sidetall"/>
    </w:pPr>
    <w:r>
      <w:tab/>
    </w:r>
    <w:r>
      <w:tab/>
    </w:r>
    <w:r>
      <w:fldChar w:fldCharType="begin"/>
    </w:r>
    <w:r>
      <w:instrText xml:space="preserve"> PAGE </w:instrText>
    </w:r>
    <w:r>
      <w:fldChar w:fldCharType="separate"/>
    </w:r>
    <w:r w:rsidR="0018740B">
      <w:t>2</w:t>
    </w:r>
    <w:r>
      <w:fldChar w:fldCharType="end"/>
    </w:r>
    <w:r>
      <w:t xml:space="preserve"> av </w:t>
    </w:r>
    <w:r>
      <w:fldChar w:fldCharType="begin"/>
    </w:r>
    <w:r>
      <w:instrText xml:space="preserve"> NUMPAGES </w:instrText>
    </w:r>
    <w:r>
      <w:fldChar w:fldCharType="separate"/>
    </w:r>
    <w:r w:rsidR="0018740B">
      <w:t>2</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C62CF4">
      <w:tblPrEx>
        <w:tblCellMar>
          <w:top w:w="0" w:type="dxa"/>
          <w:bottom w:w="0" w:type="dxa"/>
        </w:tblCellMar>
      </w:tblPrEx>
      <w:tc>
        <w:tcPr>
          <w:tcW w:w="6579" w:type="dxa"/>
          <w:tcBorders>
            <w:top w:val="nil"/>
            <w:left w:val="nil"/>
            <w:bottom w:val="nil"/>
            <w:right w:val="nil"/>
          </w:tcBorders>
        </w:tcPr>
        <w:p w:rsidR="00C62CF4" w:rsidRDefault="00C62CF4">
          <w:pPr>
            <w:pStyle w:val="Header2"/>
          </w:pPr>
          <w:r>
            <w:t>Norges teknisk-naturvitenskapelige universitet</w:t>
          </w:r>
        </w:p>
      </w:tc>
      <w:tc>
        <w:tcPr>
          <w:tcW w:w="1341" w:type="dxa"/>
          <w:tcBorders>
            <w:top w:val="nil"/>
            <w:left w:val="nil"/>
            <w:bottom w:val="nil"/>
            <w:right w:val="nil"/>
          </w:tcBorders>
        </w:tcPr>
        <w:p w:rsidR="00C62CF4" w:rsidRDefault="00C62CF4">
          <w:pPr>
            <w:pStyle w:val="DatoRefTekst"/>
          </w:pPr>
          <w:r>
            <w:t>Dato</w:t>
          </w:r>
        </w:p>
        <w:p w:rsidR="00C62CF4" w:rsidRDefault="0018740B">
          <w:pPr>
            <w:pStyle w:val="DatoRefFyllInn"/>
          </w:pPr>
          <w:bookmarkStart w:id="6" w:name="VarDato2"/>
          <w:bookmarkEnd w:id="6"/>
          <w:r>
            <w:t>30.05.2014</w:t>
          </w:r>
        </w:p>
      </w:tc>
      <w:tc>
        <w:tcPr>
          <w:tcW w:w="1996" w:type="dxa"/>
          <w:tcBorders>
            <w:top w:val="nil"/>
            <w:left w:val="nil"/>
            <w:bottom w:val="nil"/>
            <w:right w:val="nil"/>
          </w:tcBorders>
        </w:tcPr>
        <w:p w:rsidR="00C62CF4" w:rsidRDefault="00C62CF4">
          <w:pPr>
            <w:pStyle w:val="DatoRefTekst"/>
          </w:pPr>
          <w:r>
            <w:t>Referanse</w:t>
          </w:r>
        </w:p>
        <w:p w:rsidR="00C62CF4" w:rsidRDefault="0018740B">
          <w:pPr>
            <w:pStyle w:val="DatoRefFyllInn"/>
          </w:pPr>
          <w:bookmarkStart w:id="7" w:name="VarRef2"/>
          <w:bookmarkEnd w:id="7"/>
          <w:r>
            <w:t>eab</w:t>
          </w:r>
        </w:p>
      </w:tc>
    </w:tr>
  </w:tbl>
  <w:p w:rsidR="00C62CF4" w:rsidRDefault="00C62CF4">
    <w:pPr>
      <w:pStyle w:val="Topptekst"/>
      <w:pBdr>
        <w:bottom w:val="single" w:sz="4" w:space="1" w:color="auto"/>
      </w:pBdr>
      <w:rPr>
        <w:lang w:val="nb-N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F4" w:rsidRDefault="0018740B">
    <w:pPr>
      <w:pStyle w:val="sidetall"/>
    </w:pPr>
    <w:r>
      <w:rPr>
        <w:snapToGrid/>
        <w:sz w:val="20"/>
        <w:lang w:val="en-US"/>
      </w:rPr>
      <w:drawing>
        <wp:anchor distT="0" distB="0" distL="114300" distR="114300" simplePos="0" relativeHeight="251657728" behindDoc="0" locked="0" layoutInCell="1" allowOverlap="1">
          <wp:simplePos x="0" y="0"/>
          <wp:positionH relativeFrom="column">
            <wp:posOffset>53975</wp:posOffset>
          </wp:positionH>
          <wp:positionV relativeFrom="paragraph">
            <wp:posOffset>17780</wp:posOffset>
          </wp:positionV>
          <wp:extent cx="1638300" cy="304800"/>
          <wp:effectExtent l="0" t="0" r="0" b="0"/>
          <wp:wrapNone/>
          <wp:docPr id="7" name="Bilde 7"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2CF4">
      <w:tab/>
    </w:r>
    <w:r w:rsidR="00C62CF4">
      <w:tab/>
    </w:r>
    <w:r w:rsidR="00C62CF4">
      <w:tab/>
    </w:r>
    <w:r w:rsidR="00C62CF4">
      <w:fldChar w:fldCharType="begin"/>
    </w:r>
    <w:r w:rsidR="00C62CF4">
      <w:instrText xml:space="preserve"> PAGE </w:instrText>
    </w:r>
    <w:r w:rsidR="00C62CF4">
      <w:fldChar w:fldCharType="separate"/>
    </w:r>
    <w:r>
      <w:t>1</w:t>
    </w:r>
    <w:r w:rsidR="00C62CF4">
      <w:fldChar w:fldCharType="end"/>
    </w:r>
    <w:r w:rsidR="00C62CF4">
      <w:t xml:space="preserve"> av </w:t>
    </w:r>
    <w:r w:rsidR="00C62CF4">
      <w:fldChar w:fldCharType="begin"/>
    </w:r>
    <w:r w:rsidR="00C62CF4">
      <w:instrText xml:space="preserve"> NUMPAGES </w:instrText>
    </w:r>
    <w:r w:rsidR="00C62CF4">
      <w:fldChar w:fldCharType="separate"/>
    </w:r>
    <w:r>
      <w:t>2</w:t>
    </w:r>
    <w:r w:rsidR="00C62CF4">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C62CF4">
      <w:tblPrEx>
        <w:tblCellMar>
          <w:top w:w="0" w:type="dxa"/>
          <w:bottom w:w="0" w:type="dxa"/>
        </w:tblCellMar>
      </w:tblPrEx>
      <w:tc>
        <w:tcPr>
          <w:tcW w:w="6579" w:type="dxa"/>
          <w:tcBorders>
            <w:top w:val="nil"/>
            <w:left w:val="nil"/>
            <w:bottom w:val="nil"/>
            <w:right w:val="nil"/>
          </w:tcBorders>
        </w:tcPr>
        <w:p w:rsidR="00C62CF4" w:rsidRDefault="00C62CF4">
          <w:pPr>
            <w:pStyle w:val="Topptekst"/>
            <w:rPr>
              <w:lang w:val="nb-NO"/>
            </w:rPr>
          </w:pPr>
        </w:p>
      </w:tc>
      <w:tc>
        <w:tcPr>
          <w:tcW w:w="1341" w:type="dxa"/>
          <w:tcBorders>
            <w:top w:val="nil"/>
            <w:left w:val="nil"/>
            <w:bottom w:val="nil"/>
            <w:right w:val="nil"/>
          </w:tcBorders>
        </w:tcPr>
        <w:p w:rsidR="00C62CF4" w:rsidRDefault="00C62CF4">
          <w:pPr>
            <w:pStyle w:val="DatoRefTekst"/>
          </w:pPr>
        </w:p>
        <w:p w:rsidR="00C62CF4" w:rsidRDefault="00C62CF4">
          <w:pPr>
            <w:pStyle w:val="DatoFyllInn1"/>
          </w:pPr>
        </w:p>
      </w:tc>
      <w:tc>
        <w:tcPr>
          <w:tcW w:w="1996" w:type="dxa"/>
          <w:tcBorders>
            <w:top w:val="nil"/>
            <w:left w:val="nil"/>
            <w:bottom w:val="nil"/>
            <w:right w:val="nil"/>
          </w:tcBorders>
        </w:tcPr>
        <w:p w:rsidR="00C62CF4" w:rsidRDefault="00C62CF4">
          <w:pPr>
            <w:pStyle w:val="DatoRefTekst"/>
          </w:pPr>
        </w:p>
        <w:p w:rsidR="00C62CF4" w:rsidRDefault="00C62CF4">
          <w:pPr>
            <w:pStyle w:val="DatoFyllInn1"/>
          </w:pPr>
        </w:p>
      </w:tc>
    </w:tr>
    <w:tr w:rsidR="00C62CF4">
      <w:tblPrEx>
        <w:tblCellMar>
          <w:top w:w="0" w:type="dxa"/>
          <w:bottom w:w="0" w:type="dxa"/>
        </w:tblCellMar>
      </w:tblPrEx>
      <w:tc>
        <w:tcPr>
          <w:tcW w:w="6579" w:type="dxa"/>
          <w:tcBorders>
            <w:top w:val="nil"/>
            <w:left w:val="nil"/>
            <w:bottom w:val="nil"/>
            <w:right w:val="nil"/>
          </w:tcBorders>
        </w:tcPr>
        <w:p w:rsidR="00C62CF4" w:rsidRDefault="008015FF">
          <w:pPr>
            <w:pStyle w:val="Header1"/>
          </w:pPr>
          <w:r>
            <w:t xml:space="preserve">Fakultet for naturvitenskap og teknologi </w:t>
          </w:r>
        </w:p>
        <w:p w:rsidR="00C62CF4" w:rsidRDefault="008015FF">
          <w:pPr>
            <w:pStyle w:val="Header1"/>
          </w:pPr>
          <w:r>
            <w:t xml:space="preserve">Institutt for kjemisk prosessteknologi </w:t>
          </w:r>
        </w:p>
      </w:tc>
      <w:tc>
        <w:tcPr>
          <w:tcW w:w="1341" w:type="dxa"/>
          <w:tcBorders>
            <w:top w:val="nil"/>
            <w:left w:val="nil"/>
            <w:bottom w:val="nil"/>
            <w:right w:val="nil"/>
          </w:tcBorders>
        </w:tcPr>
        <w:p w:rsidR="00C62CF4" w:rsidRDefault="00C62CF4">
          <w:pPr>
            <w:pStyle w:val="DatoRefTekst2"/>
          </w:pPr>
          <w:r>
            <w:t>Dato</w:t>
          </w:r>
        </w:p>
        <w:p w:rsidR="00C62CF4" w:rsidRDefault="0018740B">
          <w:pPr>
            <w:pStyle w:val="DatoRefFyllInn"/>
          </w:pPr>
          <w:bookmarkStart w:id="8" w:name="VarDato"/>
          <w:bookmarkEnd w:id="8"/>
          <w:r>
            <w:t>30.05.2014</w:t>
          </w:r>
        </w:p>
      </w:tc>
      <w:tc>
        <w:tcPr>
          <w:tcW w:w="1996" w:type="dxa"/>
          <w:tcBorders>
            <w:top w:val="nil"/>
            <w:left w:val="nil"/>
            <w:bottom w:val="nil"/>
            <w:right w:val="nil"/>
          </w:tcBorders>
        </w:tcPr>
        <w:p w:rsidR="00C62CF4" w:rsidRDefault="00C62CF4">
          <w:pPr>
            <w:pStyle w:val="DatoRefTekst2"/>
          </w:pPr>
          <w:r>
            <w:t>Referanse</w:t>
          </w:r>
        </w:p>
        <w:p w:rsidR="00C62CF4" w:rsidRDefault="0018740B">
          <w:pPr>
            <w:pStyle w:val="DatoRefFyllInn"/>
          </w:pPr>
          <w:bookmarkStart w:id="9" w:name="VarRef"/>
          <w:bookmarkEnd w:id="9"/>
          <w:r>
            <w:t>eab</w:t>
          </w:r>
        </w:p>
      </w:tc>
    </w:tr>
  </w:tbl>
  <w:p w:rsidR="00C62CF4" w:rsidRDefault="00C62CF4">
    <w:pPr>
      <w:pStyle w:val="Topptekst"/>
      <w:pBdr>
        <w:bottom w:val="single" w:sz="4" w:space="1" w:color="auto"/>
      </w:pBdr>
      <w:rPr>
        <w:lang w:val="nb-N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6D39"/>
    <w:multiLevelType w:val="hybridMultilevel"/>
    <w:tmpl w:val="F0605890"/>
    <w:lvl w:ilvl="0" w:tplc="AA9CB7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F5433"/>
    <w:multiLevelType w:val="hybridMultilevel"/>
    <w:tmpl w:val="2A7E87BE"/>
    <w:lvl w:ilvl="0" w:tplc="29CE40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0B"/>
    <w:rsid w:val="00137D5D"/>
    <w:rsid w:val="0018740B"/>
    <w:rsid w:val="001A0A18"/>
    <w:rsid w:val="001A28C3"/>
    <w:rsid w:val="00327D66"/>
    <w:rsid w:val="003B10CD"/>
    <w:rsid w:val="00413BFA"/>
    <w:rsid w:val="00460E31"/>
    <w:rsid w:val="004E651D"/>
    <w:rsid w:val="0072520B"/>
    <w:rsid w:val="008015FF"/>
    <w:rsid w:val="008C0CB5"/>
    <w:rsid w:val="00C62CF4"/>
    <w:rsid w:val="00C703F9"/>
    <w:rsid w:val="00EF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60"/>
      <w:ind w:left="85" w:right="85"/>
    </w:pPr>
    <w:rPr>
      <w:rFonts w:ascii="Times" w:hAnsi="Times"/>
      <w:sz w:val="24"/>
      <w:szCs w:val="24"/>
      <w:lang w:val="en-GB"/>
    </w:rPr>
  </w:style>
  <w:style w:type="paragraph" w:styleId="Overskrift1">
    <w:name w:val="heading 1"/>
    <w:basedOn w:val="Normal"/>
    <w:next w:val="Normal"/>
    <w:qFormat/>
    <w:pPr>
      <w:keepNext/>
      <w:spacing w:before="560"/>
      <w:outlineLvl w:val="0"/>
    </w:pPr>
    <w:rPr>
      <w:rFonts w:ascii="Arial" w:hAnsi="Arial" w:cs="Arial"/>
      <w:b/>
      <w:bCs/>
      <w:kern w:val="32"/>
      <w:sz w:val="30"/>
      <w:szCs w:val="32"/>
      <w:lang w:val="nb-NO"/>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lang w:val="nb-NO"/>
    </w:rPr>
  </w:style>
  <w:style w:type="paragraph" w:customStyle="1" w:styleId="DatoRefTekst">
    <w:name w:val="DatoRefTekst"/>
    <w:basedOn w:val="Topptekst"/>
    <w:autoRedefine/>
    <w:pPr>
      <w:spacing w:after="0"/>
    </w:pPr>
    <w:rPr>
      <w:rFonts w:ascii="Arial" w:hAnsi="Arial"/>
      <w:sz w:val="16"/>
      <w:szCs w:val="20"/>
      <w:lang w:val="nb-NO"/>
    </w:rPr>
  </w:style>
  <w:style w:type="paragraph" w:customStyle="1" w:styleId="DatoRefFyllInn">
    <w:name w:val="DatoRefFyllInn"/>
    <w:basedOn w:val="Topptekst"/>
    <w:autoRedefine/>
    <w:pPr>
      <w:spacing w:after="60"/>
    </w:pPr>
    <w:rPr>
      <w:sz w:val="21"/>
      <w:szCs w:val="20"/>
      <w:lang w:val="nb-NO"/>
    </w:rPr>
  </w:style>
  <w:style w:type="paragraph" w:customStyle="1" w:styleId="Header2">
    <w:name w:val="Header2"/>
    <w:basedOn w:val="Topptekst"/>
    <w:autoRedefine/>
    <w:pPr>
      <w:spacing w:before="204" w:after="60"/>
      <w:ind w:left="85" w:right="85"/>
    </w:pPr>
    <w:rPr>
      <w:rFonts w:ascii="Arial" w:hAnsi="Arial"/>
      <w:b/>
      <w:sz w:val="20"/>
      <w:lang w:val="nb-NO"/>
    </w:rPr>
  </w:style>
  <w:style w:type="paragraph" w:customStyle="1" w:styleId="underheader">
    <w:name w:val="underheader"/>
    <w:basedOn w:val="Topptekst"/>
    <w:autoRedefine/>
    <w:pPr>
      <w:ind w:left="57"/>
    </w:pPr>
    <w:rPr>
      <w:rFonts w:ascii="Arial" w:hAnsi="Arial"/>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lang w:val="nb-NO"/>
    </w:rPr>
  </w:style>
  <w:style w:type="paragraph" w:customStyle="1" w:styleId="Tilfelt">
    <w:name w:val="Tilfelt"/>
    <w:basedOn w:val="Normal"/>
    <w:autoRedefine/>
    <w:pPr>
      <w:spacing w:after="20"/>
    </w:pPr>
    <w:rPr>
      <w:lang w:val="nb-NO"/>
    </w:rPr>
  </w:style>
  <w:style w:type="paragraph" w:customStyle="1" w:styleId="Merknad">
    <w:name w:val="Merknad"/>
    <w:basedOn w:val="Normal"/>
    <w:autoRedefine/>
    <w:pPr>
      <w:spacing w:before="50" w:after="50"/>
    </w:pPr>
    <w:rPr>
      <w:rFonts w:ascii="Arial" w:hAnsi="Arial"/>
      <w:color w:val="808080"/>
      <w:sz w:val="20"/>
      <w:lang w:val="nb-NO"/>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Topptekst"/>
    <w:autoRedefine/>
    <w:pPr>
      <w:spacing w:after="60"/>
      <w:ind w:left="85" w:right="85"/>
    </w:pPr>
    <w:rPr>
      <w:rFonts w:ascii="Arial" w:hAnsi="Arial"/>
      <w:sz w:val="19"/>
      <w:lang w:val="nb-NO"/>
    </w:rPr>
  </w:style>
  <w:style w:type="paragraph" w:customStyle="1" w:styleId="FyllLinje">
    <w:name w:val="FyllLinje"/>
    <w:basedOn w:val="Normal"/>
    <w:autoRedefine/>
    <w:rPr>
      <w:sz w:val="2"/>
      <w:lang w:val="nb-NO"/>
    </w:rPr>
  </w:style>
  <w:style w:type="paragraph" w:customStyle="1" w:styleId="DatoFyllInn1">
    <w:name w:val="DatoFyllInn1"/>
    <w:basedOn w:val="DatoRefFyllInn"/>
    <w:autoRedefine/>
    <w:pPr>
      <w:spacing w:after="0"/>
    </w:pPr>
  </w:style>
  <w:style w:type="paragraph" w:customStyle="1" w:styleId="Hode">
    <w:name w:val="Hode"/>
    <w:autoRedefine/>
    <w:rPr>
      <w:rFonts w:ascii="Arial" w:hAnsi="Arial"/>
      <w:noProof/>
      <w:sz w:val="16"/>
      <w:lang w:val="nb-NO" w:eastAsia="nb-NO"/>
    </w:rPr>
  </w:style>
  <w:style w:type="paragraph" w:customStyle="1" w:styleId="ArkivFyllInn">
    <w:name w:val="ArkivFyllInn"/>
    <w:basedOn w:val="Normal"/>
    <w:autoRedefine/>
    <w:pPr>
      <w:tabs>
        <w:tab w:val="left" w:pos="1418"/>
        <w:tab w:val="left" w:pos="3969"/>
        <w:tab w:val="right" w:pos="9639"/>
      </w:tabs>
      <w:spacing w:before="113" w:after="167"/>
      <w:ind w:left="0" w:right="-96"/>
      <w:jc w:val="right"/>
    </w:pPr>
    <w:rPr>
      <w:rFonts w:ascii="Arial" w:hAnsi="Arial"/>
      <w:lang w:val="nb-NO"/>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lang w:val="nb-NO"/>
    </w:rPr>
  </w:style>
  <w:style w:type="paragraph" w:customStyle="1" w:styleId="Moteoverskrift">
    <w:name w:val="Moteoverskrift"/>
    <w:basedOn w:val="Overskrift1"/>
    <w:pPr>
      <w:spacing w:before="660" w:after="340"/>
    </w:pPr>
  </w:style>
  <w:style w:type="paragraph" w:customStyle="1" w:styleId="FooterIkkeFet">
    <w:name w:val="FooterIkkeFet"/>
    <w:basedOn w:val="FooterFet"/>
    <w:autoRedefine/>
    <w:rPr>
      <w:b w:val="0"/>
      <w:bCs/>
    </w:rPr>
  </w:style>
  <w:style w:type="paragraph" w:customStyle="1" w:styleId="FooterGraaFet">
    <w:name w:val="FooterGraaFet"/>
    <w:basedOn w:val="FooterGraa"/>
    <w:autoRedefine/>
    <w:pPr>
      <w:spacing w:before="120"/>
    </w:pPr>
    <w:rPr>
      <w:b/>
      <w:bCs/>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Listeavsnitt">
    <w:name w:val="List Paragraph"/>
    <w:basedOn w:val="Normal"/>
    <w:uiPriority w:val="34"/>
    <w:qFormat/>
    <w:rsid w:val="0018740B"/>
    <w:pPr>
      <w:spacing w:after="200" w:line="276" w:lineRule="auto"/>
      <w:ind w:left="720" w:right="0"/>
      <w:contextualSpacing/>
    </w:pPr>
    <w:rPr>
      <w:rFonts w:ascii="Calibri" w:eastAsia="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60"/>
      <w:ind w:left="85" w:right="85"/>
    </w:pPr>
    <w:rPr>
      <w:rFonts w:ascii="Times" w:hAnsi="Times"/>
      <w:sz w:val="24"/>
      <w:szCs w:val="24"/>
      <w:lang w:val="en-GB"/>
    </w:rPr>
  </w:style>
  <w:style w:type="paragraph" w:styleId="Overskrift1">
    <w:name w:val="heading 1"/>
    <w:basedOn w:val="Normal"/>
    <w:next w:val="Normal"/>
    <w:qFormat/>
    <w:pPr>
      <w:keepNext/>
      <w:spacing w:before="560"/>
      <w:outlineLvl w:val="0"/>
    </w:pPr>
    <w:rPr>
      <w:rFonts w:ascii="Arial" w:hAnsi="Arial" w:cs="Arial"/>
      <w:b/>
      <w:bCs/>
      <w:kern w:val="32"/>
      <w:sz w:val="30"/>
      <w:szCs w:val="32"/>
      <w:lang w:val="nb-NO"/>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lang w:val="nb-NO"/>
    </w:rPr>
  </w:style>
  <w:style w:type="paragraph" w:customStyle="1" w:styleId="DatoRefTekst">
    <w:name w:val="DatoRefTekst"/>
    <w:basedOn w:val="Topptekst"/>
    <w:autoRedefine/>
    <w:pPr>
      <w:spacing w:after="0"/>
    </w:pPr>
    <w:rPr>
      <w:rFonts w:ascii="Arial" w:hAnsi="Arial"/>
      <w:sz w:val="16"/>
      <w:szCs w:val="20"/>
      <w:lang w:val="nb-NO"/>
    </w:rPr>
  </w:style>
  <w:style w:type="paragraph" w:customStyle="1" w:styleId="DatoRefFyllInn">
    <w:name w:val="DatoRefFyllInn"/>
    <w:basedOn w:val="Topptekst"/>
    <w:autoRedefine/>
    <w:pPr>
      <w:spacing w:after="60"/>
    </w:pPr>
    <w:rPr>
      <w:sz w:val="21"/>
      <w:szCs w:val="20"/>
      <w:lang w:val="nb-NO"/>
    </w:rPr>
  </w:style>
  <w:style w:type="paragraph" w:customStyle="1" w:styleId="Header2">
    <w:name w:val="Header2"/>
    <w:basedOn w:val="Topptekst"/>
    <w:autoRedefine/>
    <w:pPr>
      <w:spacing w:before="204" w:after="60"/>
      <w:ind w:left="85" w:right="85"/>
    </w:pPr>
    <w:rPr>
      <w:rFonts w:ascii="Arial" w:hAnsi="Arial"/>
      <w:b/>
      <w:sz w:val="20"/>
      <w:lang w:val="nb-NO"/>
    </w:rPr>
  </w:style>
  <w:style w:type="paragraph" w:customStyle="1" w:styleId="underheader">
    <w:name w:val="underheader"/>
    <w:basedOn w:val="Topptekst"/>
    <w:autoRedefine/>
    <w:pPr>
      <w:ind w:left="57"/>
    </w:pPr>
    <w:rPr>
      <w:rFonts w:ascii="Arial" w:hAnsi="Arial"/>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lang w:val="nb-NO"/>
    </w:rPr>
  </w:style>
  <w:style w:type="paragraph" w:customStyle="1" w:styleId="Tilfelt">
    <w:name w:val="Tilfelt"/>
    <w:basedOn w:val="Normal"/>
    <w:autoRedefine/>
    <w:pPr>
      <w:spacing w:after="20"/>
    </w:pPr>
    <w:rPr>
      <w:lang w:val="nb-NO"/>
    </w:rPr>
  </w:style>
  <w:style w:type="paragraph" w:customStyle="1" w:styleId="Merknad">
    <w:name w:val="Merknad"/>
    <w:basedOn w:val="Normal"/>
    <w:autoRedefine/>
    <w:pPr>
      <w:spacing w:before="50" w:after="50"/>
    </w:pPr>
    <w:rPr>
      <w:rFonts w:ascii="Arial" w:hAnsi="Arial"/>
      <w:color w:val="808080"/>
      <w:sz w:val="20"/>
      <w:lang w:val="nb-NO"/>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Topptekst"/>
    <w:autoRedefine/>
    <w:pPr>
      <w:spacing w:after="60"/>
      <w:ind w:left="85" w:right="85"/>
    </w:pPr>
    <w:rPr>
      <w:rFonts w:ascii="Arial" w:hAnsi="Arial"/>
      <w:sz w:val="19"/>
      <w:lang w:val="nb-NO"/>
    </w:rPr>
  </w:style>
  <w:style w:type="paragraph" w:customStyle="1" w:styleId="FyllLinje">
    <w:name w:val="FyllLinje"/>
    <w:basedOn w:val="Normal"/>
    <w:autoRedefine/>
    <w:rPr>
      <w:sz w:val="2"/>
      <w:lang w:val="nb-NO"/>
    </w:rPr>
  </w:style>
  <w:style w:type="paragraph" w:customStyle="1" w:styleId="DatoFyllInn1">
    <w:name w:val="DatoFyllInn1"/>
    <w:basedOn w:val="DatoRefFyllInn"/>
    <w:autoRedefine/>
    <w:pPr>
      <w:spacing w:after="0"/>
    </w:pPr>
  </w:style>
  <w:style w:type="paragraph" w:customStyle="1" w:styleId="Hode">
    <w:name w:val="Hode"/>
    <w:autoRedefine/>
    <w:rPr>
      <w:rFonts w:ascii="Arial" w:hAnsi="Arial"/>
      <w:noProof/>
      <w:sz w:val="16"/>
      <w:lang w:val="nb-NO" w:eastAsia="nb-NO"/>
    </w:rPr>
  </w:style>
  <w:style w:type="paragraph" w:customStyle="1" w:styleId="ArkivFyllInn">
    <w:name w:val="ArkivFyllInn"/>
    <w:basedOn w:val="Normal"/>
    <w:autoRedefine/>
    <w:pPr>
      <w:tabs>
        <w:tab w:val="left" w:pos="1418"/>
        <w:tab w:val="left" w:pos="3969"/>
        <w:tab w:val="right" w:pos="9639"/>
      </w:tabs>
      <w:spacing w:before="113" w:after="167"/>
      <w:ind w:left="0" w:right="-96"/>
      <w:jc w:val="right"/>
    </w:pPr>
    <w:rPr>
      <w:rFonts w:ascii="Arial" w:hAnsi="Arial"/>
      <w:lang w:val="nb-NO"/>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lang w:val="nb-NO"/>
    </w:rPr>
  </w:style>
  <w:style w:type="paragraph" w:customStyle="1" w:styleId="Moteoverskrift">
    <w:name w:val="Moteoverskrift"/>
    <w:basedOn w:val="Overskrift1"/>
    <w:pPr>
      <w:spacing w:before="660" w:after="340"/>
    </w:pPr>
  </w:style>
  <w:style w:type="paragraph" w:customStyle="1" w:styleId="FooterIkkeFet">
    <w:name w:val="FooterIkkeFet"/>
    <w:basedOn w:val="FooterFet"/>
    <w:autoRedefine/>
    <w:rPr>
      <w:b w:val="0"/>
      <w:bCs/>
    </w:rPr>
  </w:style>
  <w:style w:type="paragraph" w:customStyle="1" w:styleId="FooterGraaFet">
    <w:name w:val="FooterGraaFet"/>
    <w:basedOn w:val="FooterGraa"/>
    <w:autoRedefine/>
    <w:pPr>
      <w:spacing w:before="120"/>
    </w:pPr>
    <w:rPr>
      <w:b/>
      <w:bCs/>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Listeavsnitt">
    <w:name w:val="List Paragraph"/>
    <w:basedOn w:val="Normal"/>
    <w:uiPriority w:val="34"/>
    <w:qFormat/>
    <w:rsid w:val="0018740B"/>
    <w:pPr>
      <w:spacing w:after="200" w:line="276" w:lineRule="auto"/>
      <w:ind w:left="720" w:right="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_nota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b_notat.dot</Template>
  <TotalTime>14</TotalTime>
  <Pages>2</Pages>
  <Words>410</Words>
  <Characters>2339</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Ny linje</vt:lpstr>
      <vt:lpstr>Ny linje</vt:lpstr>
    </vt:vector>
  </TitlesOfParts>
  <Company>Orakeltjenesten, NTNU</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Edd Anders Blekkan</dc:creator>
  <cp:lastModifiedBy>Edd Anders Blekkan</cp:lastModifiedBy>
  <cp:revision>1</cp:revision>
  <cp:lastPrinted>2005-07-27T07:12:00Z</cp:lastPrinted>
  <dcterms:created xsi:type="dcterms:W3CDTF">2014-05-30T11:42:00Z</dcterms:created>
  <dcterms:modified xsi:type="dcterms:W3CDTF">2014-05-30T11:56:00Z</dcterms:modified>
</cp:coreProperties>
</file>