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79DB6" w14:textId="22ED0608" w:rsidR="00BF67C1" w:rsidRPr="009236D6" w:rsidRDefault="009236D6" w:rsidP="009236D6">
      <w:pPr>
        <w:pStyle w:val="Heading1"/>
      </w:pPr>
      <w:r w:rsidRPr="009236D6">
        <w:t>R</w:t>
      </w:r>
      <w:r w:rsidR="00D86057">
        <w:t xml:space="preserve">eactor temperature control </w:t>
      </w:r>
      <w:r w:rsidR="007E4206">
        <w:t>for</w:t>
      </w:r>
      <w:r w:rsidR="0074198B">
        <w:t xml:space="preserve"> silver catalyzed </w:t>
      </w:r>
      <w:r w:rsidRPr="009236D6">
        <w:t>formalin</w:t>
      </w:r>
      <w:r w:rsidR="00290752">
        <w:t xml:space="preserve"> </w:t>
      </w:r>
      <w:r w:rsidRPr="009236D6">
        <w:t>plants</w:t>
      </w:r>
    </w:p>
    <w:p w14:paraId="4BCA6C6F" w14:textId="2FAEA8F5" w:rsidR="007E4206" w:rsidRDefault="007E4206" w:rsidP="00254DBB">
      <w:pPr>
        <w:jc w:val="both"/>
      </w:pPr>
    </w:p>
    <w:p w14:paraId="5A94862F" w14:textId="4B335537" w:rsidR="007E4206" w:rsidRDefault="00AC2924" w:rsidP="00254DBB">
      <w:pPr>
        <w:jc w:val="both"/>
      </w:pPr>
      <w:r>
        <w:t xml:space="preserve">The heart of formalin production </w:t>
      </w:r>
      <w:r w:rsidR="005A36DA">
        <w:t xml:space="preserve">units is the reactor </w:t>
      </w:r>
      <w:r w:rsidR="00A27E4C">
        <w:t>where</w:t>
      </w:r>
      <w:r w:rsidR="005A36DA">
        <w:t xml:space="preserve"> methanol </w:t>
      </w:r>
      <w:r w:rsidR="00D90BD4">
        <w:t xml:space="preserve">is partially oxidated by the presence of air to form </w:t>
      </w:r>
      <w:r w:rsidR="00A27E4C">
        <w:t>formaldehyde.</w:t>
      </w:r>
      <w:r w:rsidR="002B3A5A">
        <w:t xml:space="preserve"> Significant amounts of hydrogen</w:t>
      </w:r>
      <w:r w:rsidR="00A16B72">
        <w:t xml:space="preserve">, </w:t>
      </w:r>
      <w:r w:rsidR="000C7E34">
        <w:t>water,</w:t>
      </w:r>
      <w:r w:rsidR="00A16B72">
        <w:t xml:space="preserve"> CO2</w:t>
      </w:r>
      <w:r w:rsidR="000C7E34">
        <w:t xml:space="preserve"> + some minor side reaction products</w:t>
      </w:r>
      <w:r w:rsidR="00A16B72">
        <w:t xml:space="preserve"> are formed as well due to the </w:t>
      </w:r>
      <w:r w:rsidR="008176B4">
        <w:t>combination of dehydrogenation, partial oxidation and fully oxidation of methanol</w:t>
      </w:r>
      <w:r w:rsidR="00A14416">
        <w:t xml:space="preserve"> that takes place when the reaction gas is passing through the catalyst.</w:t>
      </w:r>
      <w:r w:rsidR="00F4687F">
        <w:t xml:space="preserve"> In sum, these</w:t>
      </w:r>
      <w:r w:rsidR="00A27E4C">
        <w:t xml:space="preserve"> chemical reactions are exothermic</w:t>
      </w:r>
      <w:r w:rsidR="003826AC">
        <w:t>.</w:t>
      </w:r>
      <w:r w:rsidR="00F4687F">
        <w:t xml:space="preserve"> The reactor is adiabatic by design (apart from some insignificant heat losses to the environment)</w:t>
      </w:r>
      <w:r w:rsidR="006A18CD">
        <w:t xml:space="preserve">, hence controlling the reaction gas composition is critical in terms of </w:t>
      </w:r>
      <w:r w:rsidR="00234305">
        <w:t>controllability, yield</w:t>
      </w:r>
      <w:r w:rsidR="002963DC">
        <w:t>, availability, catalyst degradation,</w:t>
      </w:r>
      <w:r w:rsidR="00234305">
        <w:t xml:space="preserve"> plant safety</w:t>
      </w:r>
      <w:r w:rsidR="002963DC">
        <w:t xml:space="preserve"> and more.</w:t>
      </w:r>
    </w:p>
    <w:p w14:paraId="0B5908EF" w14:textId="71B86627" w:rsidR="002963DC" w:rsidRDefault="002963DC" w:rsidP="00254DBB">
      <w:pPr>
        <w:jc w:val="both"/>
      </w:pPr>
    </w:p>
    <w:p w14:paraId="4A33E240" w14:textId="4EEDCF0B" w:rsidR="002963DC" w:rsidRDefault="008B7358" w:rsidP="00254DBB">
      <w:pPr>
        <w:jc w:val="both"/>
      </w:pPr>
      <w:r>
        <w:t xml:space="preserve">The reaction gas </w:t>
      </w:r>
      <w:r w:rsidR="00EE7813">
        <w:t xml:space="preserve">is composed </w:t>
      </w:r>
      <w:r w:rsidR="00C47110">
        <w:t xml:space="preserve">mainly </w:t>
      </w:r>
      <w:r w:rsidR="00EE7813">
        <w:t xml:space="preserve">by the </w:t>
      </w:r>
      <w:r w:rsidR="00502600">
        <w:t>gas mixture leaving the vaporizer</w:t>
      </w:r>
      <w:r w:rsidR="00C47110">
        <w:t>. Temperature, pressure and composition</w:t>
      </w:r>
      <w:r w:rsidR="0010120B">
        <w:t>s</w:t>
      </w:r>
      <w:r w:rsidR="00C47110">
        <w:t xml:space="preserve"> in the vaporizer</w:t>
      </w:r>
      <w:r w:rsidR="0010120B">
        <w:t xml:space="preserve">, as well as heat duty, circulation flow rates and other </w:t>
      </w:r>
      <w:r w:rsidR="005C39E8">
        <w:t>process streams in connection to the vaporizer are all variables that will affect the reaction gas composition.</w:t>
      </w:r>
      <w:r w:rsidR="009163F3">
        <w:t xml:space="preserve"> </w:t>
      </w:r>
      <w:r w:rsidR="00363F8A">
        <w:t>Furthermore, d</w:t>
      </w:r>
      <w:r w:rsidR="009C7DE5">
        <w:t>isturbances of varying intensity are always present in industrial plants, and the</w:t>
      </w:r>
      <w:r w:rsidR="004E2AE5">
        <w:t>y</w:t>
      </w:r>
      <w:r w:rsidR="009C7DE5">
        <w:t xml:space="preserve"> must be </w:t>
      </w:r>
      <w:r w:rsidR="004E2AE5">
        <w:t xml:space="preserve">counteracted </w:t>
      </w:r>
      <w:r w:rsidR="00363F8A">
        <w:t>or handled in a rigorous way.</w:t>
      </w:r>
      <w:r w:rsidR="00AE4387">
        <w:t xml:space="preserve"> </w:t>
      </w:r>
      <w:r w:rsidR="00B34C7E">
        <w:t>In order t</w:t>
      </w:r>
      <w:r w:rsidR="00AE4387">
        <w:t>o catch all disturbances and</w:t>
      </w:r>
      <w:r w:rsidR="00A631AE">
        <w:t xml:space="preserve"> </w:t>
      </w:r>
      <w:r w:rsidR="00B972AA">
        <w:t xml:space="preserve">to </w:t>
      </w:r>
      <w:r w:rsidR="00C41ED3">
        <w:t>get the complete picture of the reaction gas composition at any time,</w:t>
      </w:r>
      <w:r w:rsidR="001C316B">
        <w:t xml:space="preserve"> Dynea use</w:t>
      </w:r>
      <w:r w:rsidR="00F64887">
        <w:t>s</w:t>
      </w:r>
      <w:r w:rsidR="001C316B">
        <w:t xml:space="preserve"> the temperature feedback from the fixed catalyst bed as the process variable.</w:t>
      </w:r>
      <w:r w:rsidR="00F50A18">
        <w:t xml:space="preserve"> As the</w:t>
      </w:r>
      <w:r w:rsidR="00F6536B">
        <w:t xml:space="preserve"> silver catalyzed process for producing formaldehyde is operating above the upper flammability limit</w:t>
      </w:r>
      <w:r w:rsidR="00DE17A1">
        <w:t xml:space="preserve"> (UFL)</w:t>
      </w:r>
      <w:r w:rsidR="00F6536B">
        <w:t xml:space="preserve"> and the</w:t>
      </w:r>
      <w:r w:rsidR="00F50A18">
        <w:t xml:space="preserve"> chemical reactions are oxidative dominant, the catalyst temperature will increase </w:t>
      </w:r>
      <w:r w:rsidR="00F6536B">
        <w:t>with leaner mixture and decrease if richer.</w:t>
      </w:r>
      <w:r w:rsidR="008827CF">
        <w:t xml:space="preserve"> The catalyst temperature measurements are highly reliable</w:t>
      </w:r>
      <w:r w:rsidR="00932F1E">
        <w:t xml:space="preserve">, they are producing a high process gain and they are representing </w:t>
      </w:r>
      <w:r w:rsidR="00032450">
        <w:t>very well the actual reaction gas composition or how far</w:t>
      </w:r>
      <w:r w:rsidR="007E73A0">
        <w:t>/close</w:t>
      </w:r>
      <w:r w:rsidR="00032450">
        <w:t xml:space="preserve"> the reaction gas is</w:t>
      </w:r>
      <w:r w:rsidR="007E73A0">
        <w:t xml:space="preserve"> towards the UFL</w:t>
      </w:r>
      <w:r w:rsidR="00C543F2">
        <w:t xml:space="preserve"> as long as the catalyst is fully activated and dry </w:t>
      </w:r>
      <w:r w:rsidR="006205D7">
        <w:t>(</w:t>
      </w:r>
      <w:r w:rsidR="00C543F2">
        <w:t>which is always the case except from plant start-up and shut-downs</w:t>
      </w:r>
      <w:r w:rsidR="006205D7">
        <w:t>).</w:t>
      </w:r>
    </w:p>
    <w:p w14:paraId="3261CD41" w14:textId="6D0C0044" w:rsidR="00C91D98" w:rsidRDefault="00C91D98" w:rsidP="00254DBB">
      <w:pPr>
        <w:jc w:val="both"/>
      </w:pPr>
    </w:p>
    <w:p w14:paraId="23054946" w14:textId="6726FF79" w:rsidR="00151601" w:rsidRDefault="00DF7E2B" w:rsidP="00254DBB">
      <w:pPr>
        <w:jc w:val="both"/>
      </w:pPr>
      <w:r>
        <w:t xml:space="preserve">Despite </w:t>
      </w:r>
      <w:r w:rsidR="00065ECC">
        <w:t xml:space="preserve">the good properties of the catalyst temperature as a process variable for </w:t>
      </w:r>
      <w:r w:rsidR="00916D8D">
        <w:t xml:space="preserve">control, it is subject to </w:t>
      </w:r>
      <w:r w:rsidR="00916D8D" w:rsidRPr="00046FF0">
        <w:rPr>
          <w:color w:val="auto"/>
        </w:rPr>
        <w:t xml:space="preserve">lack </w:t>
      </w:r>
      <w:r w:rsidR="00CA4DA4" w:rsidRPr="00046FF0">
        <w:rPr>
          <w:color w:val="auto"/>
        </w:rPr>
        <w:t xml:space="preserve">of </w:t>
      </w:r>
      <w:r w:rsidR="00916D8D" w:rsidRPr="00046FF0">
        <w:rPr>
          <w:color w:val="auto"/>
        </w:rPr>
        <w:t xml:space="preserve">performance </w:t>
      </w:r>
      <w:r w:rsidR="00916D8D">
        <w:t>due to</w:t>
      </w:r>
      <w:r w:rsidR="00A27460">
        <w:t xml:space="preserve"> its feedback nature – </w:t>
      </w:r>
      <w:r w:rsidR="00F854A4">
        <w:t>dead-time (primarily process dead-time</w:t>
      </w:r>
      <w:r w:rsidR="00904668">
        <w:t xml:space="preserve"> </w:t>
      </w:r>
      <w:r w:rsidR="00D04BA3">
        <w:t>caused by heat and mass transport delay</w:t>
      </w:r>
      <w:r w:rsidR="00904668">
        <w:t>)</w:t>
      </w:r>
      <w:r w:rsidR="00D04BA3">
        <w:t xml:space="preserve"> and </w:t>
      </w:r>
      <w:r w:rsidR="000B4D03">
        <w:t xml:space="preserve">the following </w:t>
      </w:r>
      <w:r w:rsidR="00904668">
        <w:t xml:space="preserve">time constant </w:t>
      </w:r>
      <w:r w:rsidR="00F30AB8">
        <w:t>are both limiting the control performance.</w:t>
      </w:r>
      <w:r w:rsidR="00147446">
        <w:t xml:space="preserve"> Dynea uses a sophisticated control scheme</w:t>
      </w:r>
      <w:r w:rsidR="00FF2EFB">
        <w:t xml:space="preserve"> </w:t>
      </w:r>
      <w:r w:rsidR="007B60CD">
        <w:t xml:space="preserve">to facilitate fast and safe control of the catalyst temperature </w:t>
      </w:r>
      <w:r w:rsidR="00FF2EFB">
        <w:t>which involves combining two</w:t>
      </w:r>
      <w:r w:rsidR="0032118A">
        <w:t xml:space="preserve"> </w:t>
      </w:r>
      <w:r w:rsidR="007913C7">
        <w:t xml:space="preserve">individual </w:t>
      </w:r>
      <w:r w:rsidR="0032118A">
        <w:t xml:space="preserve">PID controllers, each assigned </w:t>
      </w:r>
      <w:r w:rsidR="007913C7">
        <w:t xml:space="preserve">a </w:t>
      </w:r>
      <w:r w:rsidR="00FF2EFB">
        <w:t>manipulated variable</w:t>
      </w:r>
      <w:r w:rsidR="007913C7">
        <w:t xml:space="preserve"> </w:t>
      </w:r>
      <w:r w:rsidR="007B60CD">
        <w:t xml:space="preserve">towards the </w:t>
      </w:r>
      <w:r w:rsidR="007B60CD" w:rsidRPr="00046FF0">
        <w:rPr>
          <w:color w:val="auto"/>
        </w:rPr>
        <w:t>process</w:t>
      </w:r>
      <w:r w:rsidR="000636D3" w:rsidRPr="00046FF0">
        <w:rPr>
          <w:color w:val="auto"/>
        </w:rPr>
        <w:t xml:space="preserve"> (please see the typical set-up in drawing below)</w:t>
      </w:r>
      <w:r w:rsidR="007913C7" w:rsidRPr="00046FF0">
        <w:rPr>
          <w:color w:val="auto"/>
        </w:rPr>
        <w:t>.</w:t>
      </w:r>
      <w:r w:rsidR="00CB5C49" w:rsidRPr="00046FF0">
        <w:rPr>
          <w:color w:val="auto"/>
        </w:rPr>
        <w:t xml:space="preserve"> However</w:t>
      </w:r>
      <w:r w:rsidR="00CB5C49">
        <w:t xml:space="preserve">, </w:t>
      </w:r>
      <w:r w:rsidR="00B80AA3">
        <w:t>there is room for improvement</w:t>
      </w:r>
      <w:r w:rsidR="006224C0">
        <w:t xml:space="preserve"> </w:t>
      </w:r>
      <w:r w:rsidR="000636D3">
        <w:t>e.g.</w:t>
      </w:r>
      <w:r w:rsidR="00B52C73">
        <w:t xml:space="preserve"> transient periods</w:t>
      </w:r>
      <w:r w:rsidR="000E1845">
        <w:t xml:space="preserve"> are very often challenging for the controllers.</w:t>
      </w:r>
      <w:r w:rsidR="00D05725">
        <w:t xml:space="preserve"> A suitable scope of a specialization project </w:t>
      </w:r>
      <w:r w:rsidR="0096407B">
        <w:t xml:space="preserve">for a student would be to make a dynamic model of that part of the </w:t>
      </w:r>
      <w:r w:rsidR="0099471C">
        <w:t xml:space="preserve">formalin process that </w:t>
      </w:r>
      <w:r w:rsidR="007E4CCF">
        <w:t>is somehow influencing the</w:t>
      </w:r>
      <w:r w:rsidR="0099471C">
        <w:t xml:space="preserve"> catalyst temperature </w:t>
      </w:r>
      <w:r w:rsidR="000636D3">
        <w:t xml:space="preserve">e.g. </w:t>
      </w:r>
      <w:r w:rsidR="00F03D1E">
        <w:t>the process components</w:t>
      </w:r>
      <w:r w:rsidR="00B06DAC">
        <w:t xml:space="preserve"> and piping</w:t>
      </w:r>
      <w:r w:rsidR="00F03D1E">
        <w:t xml:space="preserve"> upstream the reactor</w:t>
      </w:r>
      <w:r w:rsidR="00D50DF4">
        <w:t>.</w:t>
      </w:r>
      <w:r w:rsidR="004E3D46">
        <w:t xml:space="preserve"> How advanced the model should be is more up to the student </w:t>
      </w:r>
      <w:r w:rsidR="00F757ED">
        <w:t>to decide along with the supervisor</w:t>
      </w:r>
      <w:r w:rsidR="00874CE8">
        <w:t>,</w:t>
      </w:r>
      <w:r w:rsidR="00F757ED">
        <w:t xml:space="preserve"> and will depend on skill level, knowledge and timeframe.</w:t>
      </w:r>
      <w:r w:rsidR="00874CE8">
        <w:t xml:space="preserve"> Dynea can support with relevant process data and guidance.</w:t>
      </w:r>
      <w:r w:rsidR="00972491">
        <w:t xml:space="preserve"> Depending on the comprehensiveness of the model and if there is time, the </w:t>
      </w:r>
      <w:r w:rsidR="00122C3F">
        <w:t>student m</w:t>
      </w:r>
      <w:r w:rsidR="009C5C4C">
        <w:t>ay</w:t>
      </w:r>
      <w:r w:rsidR="00122C3F">
        <w:t xml:space="preserve"> analyze the process to find promising control schemes</w:t>
      </w:r>
      <w:r w:rsidR="009C5C4C">
        <w:t xml:space="preserve"> to improve the existing</w:t>
      </w:r>
      <w:r w:rsidR="002E17CD">
        <w:t xml:space="preserve"> method of controlling the catalyst temperature</w:t>
      </w:r>
      <w:r w:rsidR="008620A7">
        <w:t>. MPC could</w:t>
      </w:r>
      <w:r w:rsidR="008A24FE">
        <w:t xml:space="preserve"> also</w:t>
      </w:r>
      <w:r w:rsidR="008620A7">
        <w:t xml:space="preserve"> be an option if desirable.</w:t>
      </w:r>
      <w:r w:rsidR="00F00F29">
        <w:t xml:space="preserve"> </w:t>
      </w:r>
      <w:r w:rsidR="00C37CFA">
        <w:t>Further e</w:t>
      </w:r>
      <w:r w:rsidR="00CB1CE8">
        <w:t>valuation and tuning</w:t>
      </w:r>
      <w:r w:rsidR="00C37CFA">
        <w:t xml:space="preserve"> of the selected controlling schemes would probably come later in an eventual master’s thesis, but if there is time </w:t>
      </w:r>
      <w:r w:rsidR="00A63251">
        <w:t>left it could still be relevant.</w:t>
      </w:r>
    </w:p>
    <w:p w14:paraId="03791A3A" w14:textId="57EFCB15" w:rsidR="00A14EDE" w:rsidRDefault="00A14EDE" w:rsidP="00254DBB">
      <w:pPr>
        <w:jc w:val="both"/>
      </w:pPr>
    </w:p>
    <w:p w14:paraId="254EBE52" w14:textId="34E747B3" w:rsidR="00A14EDE" w:rsidRDefault="00A14EDE" w:rsidP="00254DBB">
      <w:pPr>
        <w:jc w:val="both"/>
      </w:pPr>
      <w:r>
        <w:t xml:space="preserve">An analytical approach to study the dynamics of the process could be an alternative </w:t>
      </w:r>
      <w:r w:rsidR="003E428D">
        <w:t>if a dynamic model becomes too comprehensive and time consuming. The actual scope of the project must be clarified together with the student</w:t>
      </w:r>
      <w:r w:rsidR="006E251D">
        <w:t xml:space="preserve"> and the supervisors.</w:t>
      </w:r>
    </w:p>
    <w:p w14:paraId="27B66164" w14:textId="1AC2F81F" w:rsidR="000636D3" w:rsidRDefault="000636D3" w:rsidP="00254DBB">
      <w:pPr>
        <w:jc w:val="both"/>
      </w:pPr>
    </w:p>
    <w:p w14:paraId="44B578FB" w14:textId="00EF061C" w:rsidR="000636D3" w:rsidRDefault="000636D3" w:rsidP="00254DBB">
      <w:pPr>
        <w:jc w:val="both"/>
      </w:pPr>
    </w:p>
    <w:p w14:paraId="6CCA1A3D" w14:textId="205D8D99" w:rsidR="000636D3" w:rsidRDefault="000636D3" w:rsidP="00254DBB">
      <w:pPr>
        <w:jc w:val="both"/>
      </w:pPr>
    </w:p>
    <w:p w14:paraId="400DFA21" w14:textId="73418BC4" w:rsidR="000636D3" w:rsidRDefault="000636D3" w:rsidP="00254DBB">
      <w:pPr>
        <w:jc w:val="both"/>
      </w:pPr>
    </w:p>
    <w:p w14:paraId="349BDEDB" w14:textId="5AC14CC0" w:rsidR="000636D3" w:rsidRDefault="000636D3" w:rsidP="00254DBB">
      <w:pPr>
        <w:jc w:val="both"/>
      </w:pPr>
    </w:p>
    <w:p w14:paraId="44AA4FBF" w14:textId="7236D666" w:rsidR="000636D3" w:rsidRDefault="000636D3" w:rsidP="00254DBB">
      <w:pPr>
        <w:jc w:val="both"/>
      </w:pPr>
      <w:r>
        <w:lastRenderedPageBreak/>
        <w:t>Typical set up - today</w:t>
      </w:r>
    </w:p>
    <w:p w14:paraId="36221606" w14:textId="54B3A418" w:rsidR="000636D3" w:rsidRDefault="000636D3" w:rsidP="00254DBB">
      <w:pPr>
        <w:jc w:val="both"/>
      </w:pPr>
    </w:p>
    <w:p w14:paraId="0AAB043D" w14:textId="42EFFB95" w:rsidR="000636D3" w:rsidRDefault="000636D3" w:rsidP="00254DBB">
      <w:pPr>
        <w:jc w:val="both"/>
      </w:pPr>
      <w:r>
        <w:rPr>
          <w:noProof/>
        </w:rPr>
        <w:drawing>
          <wp:inline distT="0" distB="0" distL="0" distR="0" wp14:anchorId="1897E786" wp14:editId="1699B8A1">
            <wp:extent cx="5715000" cy="3219450"/>
            <wp:effectExtent l="0" t="0" r="0" b="0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35CF9" w14:textId="2F6267C4" w:rsidR="005E1DEF" w:rsidRDefault="005E1DEF" w:rsidP="00254DBB">
      <w:pPr>
        <w:jc w:val="both"/>
      </w:pPr>
    </w:p>
    <w:p w14:paraId="460333E7" w14:textId="77777777" w:rsidR="005E1DEF" w:rsidRDefault="005E1DEF" w:rsidP="00254DBB">
      <w:pPr>
        <w:jc w:val="both"/>
      </w:pPr>
    </w:p>
    <w:p w14:paraId="70EB32F0" w14:textId="77777777" w:rsidR="005E1DEF" w:rsidRDefault="005E1DEF" w:rsidP="00254DBB">
      <w:pPr>
        <w:jc w:val="both"/>
      </w:pPr>
      <w:r>
        <w:t>--</w:t>
      </w:r>
    </w:p>
    <w:p w14:paraId="5954FFF8" w14:textId="77777777" w:rsidR="005E1DEF" w:rsidRDefault="005E1DEF" w:rsidP="00254DBB">
      <w:pPr>
        <w:jc w:val="both"/>
      </w:pPr>
    </w:p>
    <w:p w14:paraId="6D33A397" w14:textId="399C1789" w:rsidR="005E1DEF" w:rsidRDefault="005E1DEF" w:rsidP="00254DBB">
      <w:pPr>
        <w:jc w:val="both"/>
      </w:pPr>
      <w:r>
        <w:t>Discussion between Sigurd and Nils Arne about topic:</w:t>
      </w:r>
    </w:p>
    <w:p w14:paraId="37DF0ECD" w14:textId="0347AAB7" w:rsidR="005E1DEF" w:rsidRDefault="005E1DEF" w:rsidP="00254DBB">
      <w:pPr>
        <w:jc w:val="both"/>
      </w:pPr>
    </w:p>
    <w:p w14:paraId="3E6032AC" w14:textId="77777777" w:rsidR="005E1DEF" w:rsidRDefault="005E1DEF" w:rsidP="005E1DEF">
      <w:pPr>
        <w:rPr>
          <w:rFonts w:ascii="Calibri" w:hAnsi="Calibri" w:cs="Calibri"/>
          <w:color w:val="auto"/>
          <w:position w:val="0"/>
          <w:lang w:val="nb-NO"/>
        </w:rPr>
      </w:pPr>
      <w:r w:rsidRPr="005E1DEF">
        <w:rPr>
          <w:lang w:val="nb-NO"/>
        </w:rPr>
        <w:t>Hei Nils Arne</w:t>
      </w:r>
    </w:p>
    <w:p w14:paraId="0041649B" w14:textId="77777777" w:rsidR="005E1DEF" w:rsidRPr="005E1DEF" w:rsidRDefault="005E1DEF" w:rsidP="005E1DEF">
      <w:pPr>
        <w:rPr>
          <w:lang w:val="nb-NO"/>
        </w:rPr>
      </w:pPr>
      <w:r w:rsidRPr="005E1DEF">
        <w:rPr>
          <w:lang w:val="nb-NO"/>
        </w:rPr>
        <w:t>Det er en interessant oppgave! Jeg ser at dere har to MV og bruker «valve position control» på bypass av air.</w:t>
      </w:r>
    </w:p>
    <w:p w14:paraId="67BD33B2" w14:textId="77777777" w:rsidR="005E1DEF" w:rsidRPr="005E1DEF" w:rsidRDefault="005E1DEF" w:rsidP="005E1DEF">
      <w:pPr>
        <w:rPr>
          <w:lang w:val="nb-NO"/>
        </w:rPr>
      </w:pPr>
      <w:r w:rsidRPr="005E1DEF">
        <w:rPr>
          <w:lang w:val="nb-NO"/>
        </w:rPr>
        <w:t>Det er en god løsning, men jeg vet at VPC kan være vanskelig å tune og at VPC-sløyfen kan bli langsom.</w:t>
      </w:r>
    </w:p>
    <w:p w14:paraId="60752601" w14:textId="77777777" w:rsidR="005E1DEF" w:rsidRPr="005E1DEF" w:rsidRDefault="005E1DEF" w:rsidP="005E1DEF">
      <w:pPr>
        <w:rPr>
          <w:lang w:val="nb-NO"/>
        </w:rPr>
      </w:pPr>
      <w:r w:rsidRPr="005E1DEF">
        <w:rPr>
          <w:lang w:val="nb-NO"/>
        </w:rPr>
        <w:t>Et alternativ kan være å bruke to regulatorer, en PD og en PID, som begge regulerer samme CV (temperaturen).</w:t>
      </w:r>
    </w:p>
    <w:p w14:paraId="093FE3A3" w14:textId="3AA84006" w:rsidR="005E1DEF" w:rsidRDefault="005E1DEF" w:rsidP="005E1DEF">
      <w:pPr>
        <w:rPr>
          <w:lang w:val="nb-NO"/>
        </w:rPr>
      </w:pPr>
      <w:r w:rsidRPr="005E1DEF">
        <w:rPr>
          <w:lang w:val="nb-NO"/>
        </w:rPr>
        <w:t>Et annet alternativ er MPC som du nevner.</w:t>
      </w:r>
    </w:p>
    <w:p w14:paraId="63ACF23B" w14:textId="4B543347" w:rsidR="005E1DEF" w:rsidRDefault="005E1DEF" w:rsidP="005E1DEF">
      <w:pPr>
        <w:rPr>
          <w:lang w:val="nb-NO"/>
        </w:rPr>
      </w:pPr>
      <w:r>
        <w:rPr>
          <w:lang w:val="nb-NO"/>
        </w:rPr>
        <w:t>-Hilsen Sigurd</w:t>
      </w:r>
    </w:p>
    <w:p w14:paraId="783FF6B1" w14:textId="48E7E494" w:rsidR="005E1DEF" w:rsidRDefault="005E1DEF" w:rsidP="005E1DEF">
      <w:pPr>
        <w:rPr>
          <w:lang w:val="nb-NO"/>
        </w:rPr>
      </w:pPr>
    </w:p>
    <w:p w14:paraId="7E99E09B" w14:textId="77777777" w:rsidR="005E1DEF" w:rsidRPr="005E1DEF" w:rsidRDefault="005E1DEF" w:rsidP="005E1DEF">
      <w:pPr>
        <w:rPr>
          <w:rFonts w:ascii="Calibri" w:hAnsi="Calibri" w:cs="Calibri"/>
          <w:color w:val="auto"/>
          <w:position w:val="0"/>
          <w:lang w:val="nb-NO" w:eastAsia="nb-NO"/>
        </w:rPr>
      </w:pPr>
      <w:r w:rsidRPr="005E1DEF">
        <w:rPr>
          <w:lang w:val="nb-NO"/>
        </w:rPr>
        <w:t>Hei Sigurd,</w:t>
      </w:r>
    </w:p>
    <w:p w14:paraId="7A32F89B" w14:textId="77777777" w:rsidR="005E1DEF" w:rsidRDefault="005E1DEF" w:rsidP="005E1DEF">
      <w:pPr>
        <w:rPr>
          <w:lang w:val="nb-NO"/>
        </w:rPr>
      </w:pPr>
      <w:r w:rsidRPr="005E1DEF">
        <w:rPr>
          <w:lang w:val="nb-NO"/>
        </w:rPr>
        <w:t>Det er bra å høre at du har noen idéer.</w:t>
      </w:r>
    </w:p>
    <w:p w14:paraId="107847B9" w14:textId="77777777" w:rsidR="005E1DEF" w:rsidRPr="005E1DEF" w:rsidRDefault="005E1DEF" w:rsidP="005E1DEF">
      <w:pPr>
        <w:rPr>
          <w:lang w:val="nb-NO"/>
        </w:rPr>
      </w:pPr>
      <w:r w:rsidRPr="005E1DEF">
        <w:rPr>
          <w:lang w:val="nb-NO"/>
        </w:rPr>
        <w:t>Det vi bruker i dag er som du allerede har forstått; en TC (PI-regulator og tunet til å være rask) og en VPC (I-regulator med svært lang reset-tid).</w:t>
      </w:r>
    </w:p>
    <w:p w14:paraId="71644FF5" w14:textId="77777777" w:rsidR="005E1DEF" w:rsidRPr="005E1DEF" w:rsidRDefault="005E1DEF" w:rsidP="005E1DEF">
      <w:pPr>
        <w:rPr>
          <w:lang w:val="nb-NO"/>
        </w:rPr>
      </w:pPr>
      <w:r w:rsidRPr="005E1DEF">
        <w:rPr>
          <w:lang w:val="nb-NO"/>
        </w:rPr>
        <w:t>TCen blir også overstyrt ved behov av en ekstra reguleringsfunksjon (output tracking) som har som oppgave å redusere MV når reaktortemperaturen er for mye over setpunkt og er på stigende kurs. Dette er for å «hjelpe» TC og unngå at reguleringsventilen blir forriglet i stengt posisjon eller fullstendig trip av anlegget.</w:t>
      </w:r>
    </w:p>
    <w:p w14:paraId="305C5C59" w14:textId="7B0A94E7" w:rsidR="005E1DEF" w:rsidRDefault="005E1DEF" w:rsidP="005E1DEF">
      <w:pPr>
        <w:rPr>
          <w:lang w:val="nb-NO"/>
        </w:rPr>
      </w:pPr>
      <w:r w:rsidRPr="005E1DEF">
        <w:rPr>
          <w:lang w:val="nb-NO"/>
        </w:rPr>
        <w:t>Høy reaktortemperatur kan lett gjøre at anlegget går i shut-down, og det vil vi selvfølgelig helst unngå.</w:t>
      </w:r>
    </w:p>
    <w:p w14:paraId="5FFF541B" w14:textId="04672CDF" w:rsidR="005E1DEF" w:rsidRPr="005E1DEF" w:rsidRDefault="005E1DEF" w:rsidP="005E1DEF">
      <w:pPr>
        <w:rPr>
          <w:lang w:val="nb-NO"/>
        </w:rPr>
      </w:pPr>
      <w:r>
        <w:rPr>
          <w:lang w:val="nb-NO"/>
        </w:rPr>
        <w:t>-Hilsen Nils Arne Susort</w:t>
      </w:r>
    </w:p>
    <w:p w14:paraId="0338DA69" w14:textId="77777777" w:rsidR="005E1DEF" w:rsidRPr="005E1DEF" w:rsidRDefault="005E1DEF" w:rsidP="005E1DEF">
      <w:pPr>
        <w:rPr>
          <w:lang w:val="nb-NO"/>
        </w:rPr>
      </w:pPr>
    </w:p>
    <w:p w14:paraId="6F6CD298" w14:textId="77777777" w:rsidR="005E1DEF" w:rsidRPr="005E1DEF" w:rsidRDefault="005E1DEF" w:rsidP="00254DBB">
      <w:pPr>
        <w:jc w:val="both"/>
        <w:rPr>
          <w:lang w:val="nb-NO"/>
        </w:rPr>
      </w:pPr>
    </w:p>
    <w:sectPr w:rsidR="005E1DEF" w:rsidRPr="005E1DEF" w:rsidSect="00290752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851" w:right="567" w:bottom="851" w:left="1418" w:header="1021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37F0D" w14:textId="77777777" w:rsidR="004C1F84" w:rsidRDefault="004C1F84" w:rsidP="00CD63CF">
      <w:r>
        <w:separator/>
      </w:r>
    </w:p>
  </w:endnote>
  <w:endnote w:type="continuationSeparator" w:id="0">
    <w:p w14:paraId="1C97B878" w14:textId="77777777" w:rsidR="004C1F84" w:rsidRDefault="004C1F84" w:rsidP="00CD6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B114" w14:textId="77777777" w:rsidR="00AF7F87" w:rsidRDefault="00AF7F87"/>
  <w:p w14:paraId="57F7F2DA" w14:textId="77777777" w:rsidR="00AF7F87" w:rsidRDefault="00AF7F87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0"/>
      <w:gridCol w:w="4530"/>
    </w:tblGrid>
    <w:tr w:rsidR="005441C2" w:rsidRPr="005441C2" w14:paraId="4B983FBB" w14:textId="77777777" w:rsidTr="00AF7F87">
      <w:tc>
        <w:tcPr>
          <w:tcW w:w="4530" w:type="dxa"/>
          <w:vAlign w:val="center"/>
        </w:tcPr>
        <w:p w14:paraId="5E2C83F1" w14:textId="77777777" w:rsidR="005441C2" w:rsidRPr="00D53EFF" w:rsidRDefault="005441C2" w:rsidP="00CD63CF">
          <w:pPr>
            <w:pStyle w:val="Footer"/>
            <w:rPr>
              <w:sz w:val="16"/>
              <w:szCs w:val="16"/>
            </w:rPr>
          </w:pPr>
        </w:p>
      </w:tc>
      <w:tc>
        <w:tcPr>
          <w:tcW w:w="4530" w:type="dxa"/>
          <w:vAlign w:val="center"/>
        </w:tcPr>
        <w:sdt>
          <w:sdtPr>
            <w:rPr>
              <w:sz w:val="16"/>
              <w:szCs w:val="16"/>
            </w:rPr>
            <w:id w:val="-86181945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31346683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6CCE90DC" w14:textId="77777777" w:rsidR="005441C2" w:rsidRPr="00D53EFF" w:rsidRDefault="005441C2" w:rsidP="00AF7F87">
                  <w:pPr>
                    <w:pStyle w:val="Footer"/>
                    <w:jc w:val="right"/>
                    <w:rPr>
                      <w:sz w:val="16"/>
                      <w:szCs w:val="16"/>
                    </w:rPr>
                  </w:pPr>
                  <w:r w:rsidRPr="00D53EFF">
                    <w:rPr>
                      <w:sz w:val="16"/>
                      <w:szCs w:val="16"/>
                    </w:rPr>
                    <w:t xml:space="preserve">Page </w:t>
                  </w:r>
                  <w:r w:rsidRPr="00D53EFF">
                    <w:rPr>
                      <w:sz w:val="16"/>
                      <w:szCs w:val="16"/>
                    </w:rPr>
                    <w:fldChar w:fldCharType="begin"/>
                  </w:r>
                  <w:r w:rsidRPr="00D53EFF">
                    <w:rPr>
                      <w:sz w:val="16"/>
                      <w:szCs w:val="16"/>
                    </w:rPr>
                    <w:instrText xml:space="preserve"> PAGE </w:instrText>
                  </w:r>
                  <w:r w:rsidRPr="00D53EFF">
                    <w:rPr>
                      <w:sz w:val="16"/>
                      <w:szCs w:val="16"/>
                    </w:rPr>
                    <w:fldChar w:fldCharType="separate"/>
                  </w:r>
                  <w:r w:rsidR="0074198B">
                    <w:rPr>
                      <w:noProof/>
                      <w:sz w:val="16"/>
                      <w:szCs w:val="16"/>
                    </w:rPr>
                    <w:t>2</w:t>
                  </w:r>
                  <w:r w:rsidRPr="00D53EFF">
                    <w:rPr>
                      <w:sz w:val="16"/>
                      <w:szCs w:val="16"/>
                    </w:rPr>
                    <w:fldChar w:fldCharType="end"/>
                  </w:r>
                  <w:r w:rsidRPr="00D53EFF">
                    <w:rPr>
                      <w:sz w:val="16"/>
                      <w:szCs w:val="16"/>
                    </w:rPr>
                    <w:t xml:space="preserve"> of </w:t>
                  </w:r>
                  <w:r w:rsidR="00D53EFF" w:rsidRPr="00D53EFF">
                    <w:rPr>
                      <w:sz w:val="16"/>
                      <w:szCs w:val="16"/>
                    </w:rPr>
                    <w:fldChar w:fldCharType="begin"/>
                  </w:r>
                  <w:r w:rsidR="00D53EFF" w:rsidRPr="00D53EFF">
                    <w:rPr>
                      <w:sz w:val="16"/>
                      <w:szCs w:val="16"/>
                    </w:rPr>
                    <w:instrText xml:space="preserve"> NUMPAGES  </w:instrText>
                  </w:r>
                  <w:r w:rsidR="00D53EFF" w:rsidRPr="00D53EFF">
                    <w:rPr>
                      <w:sz w:val="16"/>
                      <w:szCs w:val="16"/>
                    </w:rPr>
                    <w:fldChar w:fldCharType="separate"/>
                  </w:r>
                  <w:r w:rsidR="0074198B">
                    <w:rPr>
                      <w:noProof/>
                      <w:sz w:val="16"/>
                      <w:szCs w:val="16"/>
                    </w:rPr>
                    <w:t>2</w:t>
                  </w:r>
                  <w:r w:rsidR="00D53EFF" w:rsidRPr="00D53EFF">
                    <w:rPr>
                      <w:noProof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AD1D3DC" w14:textId="77777777" w:rsidR="005441C2" w:rsidRDefault="005441C2" w:rsidP="00CD6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DE3EB" w14:textId="77777777" w:rsidR="004C1F84" w:rsidRDefault="004C1F84" w:rsidP="00CD63CF">
      <w:r>
        <w:separator/>
      </w:r>
    </w:p>
  </w:footnote>
  <w:footnote w:type="continuationSeparator" w:id="0">
    <w:p w14:paraId="0E51B4C9" w14:textId="77777777" w:rsidR="004C1F84" w:rsidRDefault="004C1F84" w:rsidP="00CD6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486"/>
      <w:gridCol w:w="4586"/>
    </w:tblGrid>
    <w:tr w:rsidR="005441C2" w14:paraId="29A2C40C" w14:textId="77777777" w:rsidTr="00AF7F87">
      <w:trPr>
        <w:jc w:val="center"/>
      </w:trPr>
      <w:tc>
        <w:tcPr>
          <w:tcW w:w="4486" w:type="dxa"/>
        </w:tcPr>
        <w:p w14:paraId="717812A2" w14:textId="77777777" w:rsidR="005441C2" w:rsidRDefault="005441C2" w:rsidP="00CD63CF"/>
      </w:tc>
      <w:tc>
        <w:tcPr>
          <w:tcW w:w="4586" w:type="dxa"/>
        </w:tcPr>
        <w:p w14:paraId="266FC9F0" w14:textId="77777777" w:rsidR="005441C2" w:rsidRDefault="00AF7F87" w:rsidP="00CD63CF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3BDFFCDA" wp14:editId="1AF41BC0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849600" cy="571478"/>
                <wp:effectExtent l="0" t="0" r="8255" b="635"/>
                <wp:wrapSquare wrapText="bothSides"/>
                <wp:docPr id="2" name="Picture 2" descr="C:\Users\sommeann\AppData\Local\Microsoft\Windows\Temporary Internet Files\Content.Word\Dynea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mmeann\AppData\Local\Microsoft\Windows\Temporary Internet Files\Content.Word\Dynea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600" cy="5714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447BB40" w14:textId="77777777" w:rsidR="009C6E01" w:rsidRDefault="009C6E01" w:rsidP="00CD63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73"/>
      <w:gridCol w:w="6299"/>
    </w:tblGrid>
    <w:tr w:rsidR="00CD63CF" w:rsidRPr="00CD63CF" w14:paraId="2DF1CC7B" w14:textId="77777777" w:rsidTr="006B4C15">
      <w:trPr>
        <w:cantSplit/>
        <w:trHeight w:hRule="exact" w:val="1843"/>
        <w:jc w:val="center"/>
      </w:trPr>
      <w:tc>
        <w:tcPr>
          <w:tcW w:w="3119" w:type="dxa"/>
          <w:vAlign w:val="center"/>
        </w:tcPr>
        <w:p w14:paraId="37C2F768" w14:textId="77777777" w:rsidR="009C6E01" w:rsidRDefault="006B4C15" w:rsidP="00CD63CF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1D96573" wp14:editId="2C15B84E">
                <wp:simplePos x="901700" y="7302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706400" cy="1147799"/>
                <wp:effectExtent l="0" t="0" r="8255" b="0"/>
                <wp:wrapSquare wrapText="bothSides"/>
                <wp:docPr id="1" name="Picture 1" descr="C:\Users\sommeann\AppData\Local\Microsoft\Windows\Temporary Internet Files\Content.Word\Dynea_logo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ommeann\AppData\Local\Microsoft\Windows\Temporary Internet Files\Content.Word\Dynea_logo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6400" cy="1147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88" w:type="dxa"/>
          <w:vAlign w:val="bottom"/>
        </w:tcPr>
        <w:p w14:paraId="4D9A27B3" w14:textId="77777777" w:rsidR="009C6E01" w:rsidRPr="00CD63CF" w:rsidRDefault="009C6E01" w:rsidP="006B4C15">
          <w:pPr>
            <w:pStyle w:val="Header"/>
          </w:pPr>
        </w:p>
      </w:tc>
    </w:tr>
  </w:tbl>
  <w:p w14:paraId="303E44FB" w14:textId="77777777" w:rsidR="009C6E01" w:rsidRDefault="009C6E01" w:rsidP="00CD63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28E0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BA45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B48A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578EF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1EA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8E0F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ECE1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8ADD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C2D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2C0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002EED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DD0522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7D9347C"/>
    <w:multiLevelType w:val="singleLevel"/>
    <w:tmpl w:val="749CFBA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3ADA7EBA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63208E"/>
    <w:multiLevelType w:val="multilevel"/>
    <w:tmpl w:val="60865C4E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EEC13F6"/>
    <w:multiLevelType w:val="multilevel"/>
    <w:tmpl w:val="C5969014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4BC625FC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D71395D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1EB3D2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EAA3D20"/>
    <w:multiLevelType w:val="multilevel"/>
    <w:tmpl w:val="0414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C866849"/>
    <w:multiLevelType w:val="multilevel"/>
    <w:tmpl w:val="04140023"/>
    <w:lvl w:ilvl="0">
      <w:start w:val="1"/>
      <w:numFmt w:val="upperRoman"/>
      <w:lvlText w:val="Artikkel %1."/>
      <w:lvlJc w:val="left"/>
      <w:pPr>
        <w:ind w:left="0" w:firstLine="0"/>
      </w:pPr>
    </w:lvl>
    <w:lvl w:ilvl="1">
      <w:start w:val="1"/>
      <w:numFmt w:val="decimalZero"/>
      <w:isLgl/>
      <w:lvlText w:val="Inndeling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FBE79E7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0"/>
  </w:num>
  <w:num w:numId="5">
    <w:abstractNumId w:val="19"/>
  </w:num>
  <w:num w:numId="6">
    <w:abstractNumId w:val="14"/>
  </w:num>
  <w:num w:numId="7">
    <w:abstractNumId w:val="13"/>
  </w:num>
  <w:num w:numId="8">
    <w:abstractNumId w:val="17"/>
  </w:num>
  <w:num w:numId="9">
    <w:abstractNumId w:val="15"/>
  </w:num>
  <w:num w:numId="10">
    <w:abstractNumId w:val="21"/>
  </w:num>
  <w:num w:numId="11">
    <w:abstractNumId w:val="16"/>
  </w:num>
  <w:num w:numId="12">
    <w:abstractNumId w:val="11"/>
  </w:num>
  <w:num w:numId="13">
    <w:abstractNumId w:val="20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b-NO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nb-NO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D6"/>
    <w:rsid w:val="000007D9"/>
    <w:rsid w:val="0000148D"/>
    <w:rsid w:val="00001ED8"/>
    <w:rsid w:val="00004344"/>
    <w:rsid w:val="00013255"/>
    <w:rsid w:val="00016B0A"/>
    <w:rsid w:val="000170AB"/>
    <w:rsid w:val="00032450"/>
    <w:rsid w:val="000431A6"/>
    <w:rsid w:val="00043925"/>
    <w:rsid w:val="00046FF0"/>
    <w:rsid w:val="00047A67"/>
    <w:rsid w:val="00051F5B"/>
    <w:rsid w:val="00053D31"/>
    <w:rsid w:val="000636D3"/>
    <w:rsid w:val="00065ECC"/>
    <w:rsid w:val="00067A67"/>
    <w:rsid w:val="000804D0"/>
    <w:rsid w:val="000836B4"/>
    <w:rsid w:val="00085727"/>
    <w:rsid w:val="00085878"/>
    <w:rsid w:val="000876AA"/>
    <w:rsid w:val="000A15AE"/>
    <w:rsid w:val="000B4D03"/>
    <w:rsid w:val="000C066B"/>
    <w:rsid w:val="000C7E34"/>
    <w:rsid w:val="000D142D"/>
    <w:rsid w:val="000D318A"/>
    <w:rsid w:val="000D3DC3"/>
    <w:rsid w:val="000E1845"/>
    <w:rsid w:val="000E3188"/>
    <w:rsid w:val="000F14DD"/>
    <w:rsid w:val="000F77E9"/>
    <w:rsid w:val="0010120B"/>
    <w:rsid w:val="00105CC3"/>
    <w:rsid w:val="00107F03"/>
    <w:rsid w:val="00110D35"/>
    <w:rsid w:val="00115B3D"/>
    <w:rsid w:val="00116CF9"/>
    <w:rsid w:val="00116DC8"/>
    <w:rsid w:val="00120964"/>
    <w:rsid w:val="00122C3F"/>
    <w:rsid w:val="0012348C"/>
    <w:rsid w:val="001400D8"/>
    <w:rsid w:val="00140B40"/>
    <w:rsid w:val="00146618"/>
    <w:rsid w:val="00147446"/>
    <w:rsid w:val="0015115A"/>
    <w:rsid w:val="00151601"/>
    <w:rsid w:val="00151764"/>
    <w:rsid w:val="00165CF0"/>
    <w:rsid w:val="00193990"/>
    <w:rsid w:val="001A50BE"/>
    <w:rsid w:val="001B013A"/>
    <w:rsid w:val="001C22CD"/>
    <w:rsid w:val="001C316B"/>
    <w:rsid w:val="001C6B78"/>
    <w:rsid w:val="001D1102"/>
    <w:rsid w:val="001D6605"/>
    <w:rsid w:val="001E7CFD"/>
    <w:rsid w:val="001F50FA"/>
    <w:rsid w:val="00220DA4"/>
    <w:rsid w:val="00234305"/>
    <w:rsid w:val="0024654E"/>
    <w:rsid w:val="00254DBB"/>
    <w:rsid w:val="00257F37"/>
    <w:rsid w:val="002654F0"/>
    <w:rsid w:val="0026709C"/>
    <w:rsid w:val="0027250D"/>
    <w:rsid w:val="00274C13"/>
    <w:rsid w:val="00290752"/>
    <w:rsid w:val="002963DC"/>
    <w:rsid w:val="002B3A5A"/>
    <w:rsid w:val="002C488B"/>
    <w:rsid w:val="002E17CD"/>
    <w:rsid w:val="002E74FA"/>
    <w:rsid w:val="002F2DF3"/>
    <w:rsid w:val="00303003"/>
    <w:rsid w:val="00305C8A"/>
    <w:rsid w:val="00314904"/>
    <w:rsid w:val="0032118A"/>
    <w:rsid w:val="003236EA"/>
    <w:rsid w:val="003455C1"/>
    <w:rsid w:val="00347687"/>
    <w:rsid w:val="00353892"/>
    <w:rsid w:val="00363F8A"/>
    <w:rsid w:val="00373485"/>
    <w:rsid w:val="003772A2"/>
    <w:rsid w:val="0038094E"/>
    <w:rsid w:val="003826AC"/>
    <w:rsid w:val="00383156"/>
    <w:rsid w:val="003A7048"/>
    <w:rsid w:val="003B2D8C"/>
    <w:rsid w:val="003C08DA"/>
    <w:rsid w:val="003C5928"/>
    <w:rsid w:val="003D3A61"/>
    <w:rsid w:val="003E1D92"/>
    <w:rsid w:val="003E3DAA"/>
    <w:rsid w:val="003E428D"/>
    <w:rsid w:val="003E4C8E"/>
    <w:rsid w:val="003F5704"/>
    <w:rsid w:val="004078CB"/>
    <w:rsid w:val="00413716"/>
    <w:rsid w:val="00416CC4"/>
    <w:rsid w:val="00440846"/>
    <w:rsid w:val="00440F9A"/>
    <w:rsid w:val="0046549C"/>
    <w:rsid w:val="00482A8D"/>
    <w:rsid w:val="004A155F"/>
    <w:rsid w:val="004A216F"/>
    <w:rsid w:val="004A4FE9"/>
    <w:rsid w:val="004B08E6"/>
    <w:rsid w:val="004B3226"/>
    <w:rsid w:val="004B55CE"/>
    <w:rsid w:val="004C1F84"/>
    <w:rsid w:val="004C20B3"/>
    <w:rsid w:val="004C288A"/>
    <w:rsid w:val="004E2AE5"/>
    <w:rsid w:val="004E3D46"/>
    <w:rsid w:val="004E7A5C"/>
    <w:rsid w:val="00501BFE"/>
    <w:rsid w:val="00502600"/>
    <w:rsid w:val="0051063D"/>
    <w:rsid w:val="0051072D"/>
    <w:rsid w:val="00513CD9"/>
    <w:rsid w:val="00523B1B"/>
    <w:rsid w:val="00533AF2"/>
    <w:rsid w:val="005354DF"/>
    <w:rsid w:val="005358C2"/>
    <w:rsid w:val="005419D8"/>
    <w:rsid w:val="005441C2"/>
    <w:rsid w:val="00547651"/>
    <w:rsid w:val="00554B60"/>
    <w:rsid w:val="005613D1"/>
    <w:rsid w:val="00574FBA"/>
    <w:rsid w:val="005A36DA"/>
    <w:rsid w:val="005C39E8"/>
    <w:rsid w:val="005C5839"/>
    <w:rsid w:val="005E1DEF"/>
    <w:rsid w:val="005F1EB4"/>
    <w:rsid w:val="00605B7B"/>
    <w:rsid w:val="00613DC1"/>
    <w:rsid w:val="006205D7"/>
    <w:rsid w:val="00621005"/>
    <w:rsid w:val="006224C0"/>
    <w:rsid w:val="00627C40"/>
    <w:rsid w:val="0063735F"/>
    <w:rsid w:val="00640B84"/>
    <w:rsid w:val="006415C3"/>
    <w:rsid w:val="00650EE1"/>
    <w:rsid w:val="006548D1"/>
    <w:rsid w:val="00661C79"/>
    <w:rsid w:val="00662A50"/>
    <w:rsid w:val="00665AD1"/>
    <w:rsid w:val="00685937"/>
    <w:rsid w:val="00685FFB"/>
    <w:rsid w:val="006A18CD"/>
    <w:rsid w:val="006A4ED3"/>
    <w:rsid w:val="006A5374"/>
    <w:rsid w:val="006A6B75"/>
    <w:rsid w:val="006B4C15"/>
    <w:rsid w:val="006C17D3"/>
    <w:rsid w:val="006C25DD"/>
    <w:rsid w:val="006D08FA"/>
    <w:rsid w:val="006E251D"/>
    <w:rsid w:val="006E5E65"/>
    <w:rsid w:val="006E6ACE"/>
    <w:rsid w:val="006F760D"/>
    <w:rsid w:val="0070154A"/>
    <w:rsid w:val="00702CFC"/>
    <w:rsid w:val="007076F1"/>
    <w:rsid w:val="00711194"/>
    <w:rsid w:val="00721833"/>
    <w:rsid w:val="00732BF0"/>
    <w:rsid w:val="0074198B"/>
    <w:rsid w:val="007578D7"/>
    <w:rsid w:val="007660BD"/>
    <w:rsid w:val="00767A48"/>
    <w:rsid w:val="00770C69"/>
    <w:rsid w:val="00782195"/>
    <w:rsid w:val="007856B2"/>
    <w:rsid w:val="0078699C"/>
    <w:rsid w:val="007913C7"/>
    <w:rsid w:val="007923F1"/>
    <w:rsid w:val="007935E1"/>
    <w:rsid w:val="007A6638"/>
    <w:rsid w:val="007B2BEF"/>
    <w:rsid w:val="007B60CD"/>
    <w:rsid w:val="007B628B"/>
    <w:rsid w:val="007D4403"/>
    <w:rsid w:val="007E4206"/>
    <w:rsid w:val="007E4CCF"/>
    <w:rsid w:val="007E73A0"/>
    <w:rsid w:val="00814185"/>
    <w:rsid w:val="008176B4"/>
    <w:rsid w:val="00821107"/>
    <w:rsid w:val="00821A11"/>
    <w:rsid w:val="00830944"/>
    <w:rsid w:val="00837E31"/>
    <w:rsid w:val="0085303F"/>
    <w:rsid w:val="00854C6F"/>
    <w:rsid w:val="008620A7"/>
    <w:rsid w:val="00874CE8"/>
    <w:rsid w:val="00877A21"/>
    <w:rsid w:val="008809ED"/>
    <w:rsid w:val="008827CF"/>
    <w:rsid w:val="008A1E38"/>
    <w:rsid w:val="008A24FE"/>
    <w:rsid w:val="008B7358"/>
    <w:rsid w:val="008D3E4A"/>
    <w:rsid w:val="008D68D0"/>
    <w:rsid w:val="008E045A"/>
    <w:rsid w:val="008E7FF5"/>
    <w:rsid w:val="008F4194"/>
    <w:rsid w:val="009006A2"/>
    <w:rsid w:val="00904668"/>
    <w:rsid w:val="009163F3"/>
    <w:rsid w:val="00916D8D"/>
    <w:rsid w:val="009171BE"/>
    <w:rsid w:val="009236D6"/>
    <w:rsid w:val="00932F1E"/>
    <w:rsid w:val="00943572"/>
    <w:rsid w:val="00954414"/>
    <w:rsid w:val="009579BF"/>
    <w:rsid w:val="00961A6D"/>
    <w:rsid w:val="00961AED"/>
    <w:rsid w:val="0096407B"/>
    <w:rsid w:val="00972491"/>
    <w:rsid w:val="00975BC9"/>
    <w:rsid w:val="00985734"/>
    <w:rsid w:val="0099471C"/>
    <w:rsid w:val="009A735E"/>
    <w:rsid w:val="009B391D"/>
    <w:rsid w:val="009C5C4C"/>
    <w:rsid w:val="009C6BC7"/>
    <w:rsid w:val="009C6E01"/>
    <w:rsid w:val="009C7DE5"/>
    <w:rsid w:val="009D1960"/>
    <w:rsid w:val="009D28D5"/>
    <w:rsid w:val="009E08EE"/>
    <w:rsid w:val="009E4034"/>
    <w:rsid w:val="00A02C05"/>
    <w:rsid w:val="00A07F4B"/>
    <w:rsid w:val="00A14416"/>
    <w:rsid w:val="00A14EDE"/>
    <w:rsid w:val="00A16B72"/>
    <w:rsid w:val="00A25060"/>
    <w:rsid w:val="00A27460"/>
    <w:rsid w:val="00A27E4C"/>
    <w:rsid w:val="00A631AE"/>
    <w:rsid w:val="00A63251"/>
    <w:rsid w:val="00A72F9A"/>
    <w:rsid w:val="00AC2924"/>
    <w:rsid w:val="00AE4387"/>
    <w:rsid w:val="00AF2D12"/>
    <w:rsid w:val="00AF3CCB"/>
    <w:rsid w:val="00AF5DE5"/>
    <w:rsid w:val="00AF7F87"/>
    <w:rsid w:val="00AF7FCD"/>
    <w:rsid w:val="00B019DB"/>
    <w:rsid w:val="00B036D0"/>
    <w:rsid w:val="00B06DAC"/>
    <w:rsid w:val="00B3495D"/>
    <w:rsid w:val="00B34C7E"/>
    <w:rsid w:val="00B36C3B"/>
    <w:rsid w:val="00B50CB5"/>
    <w:rsid w:val="00B52C73"/>
    <w:rsid w:val="00B656DD"/>
    <w:rsid w:val="00B80AA3"/>
    <w:rsid w:val="00B94060"/>
    <w:rsid w:val="00B972AA"/>
    <w:rsid w:val="00BA30B2"/>
    <w:rsid w:val="00BA3A60"/>
    <w:rsid w:val="00BA4367"/>
    <w:rsid w:val="00BA4A1E"/>
    <w:rsid w:val="00BB1A91"/>
    <w:rsid w:val="00BB338E"/>
    <w:rsid w:val="00BC0B2D"/>
    <w:rsid w:val="00BE2170"/>
    <w:rsid w:val="00BF2A5C"/>
    <w:rsid w:val="00BF67C1"/>
    <w:rsid w:val="00C20CC1"/>
    <w:rsid w:val="00C26C9B"/>
    <w:rsid w:val="00C2776B"/>
    <w:rsid w:val="00C33D9B"/>
    <w:rsid w:val="00C364B8"/>
    <w:rsid w:val="00C37CFA"/>
    <w:rsid w:val="00C41ED3"/>
    <w:rsid w:val="00C47110"/>
    <w:rsid w:val="00C543F2"/>
    <w:rsid w:val="00C62C67"/>
    <w:rsid w:val="00C670A0"/>
    <w:rsid w:val="00C836F5"/>
    <w:rsid w:val="00C91D98"/>
    <w:rsid w:val="00CA3334"/>
    <w:rsid w:val="00CA4DA4"/>
    <w:rsid w:val="00CB1CE8"/>
    <w:rsid w:val="00CB5C49"/>
    <w:rsid w:val="00CC0D30"/>
    <w:rsid w:val="00CC36BB"/>
    <w:rsid w:val="00CD63CF"/>
    <w:rsid w:val="00CD7AAF"/>
    <w:rsid w:val="00CE374E"/>
    <w:rsid w:val="00CF092E"/>
    <w:rsid w:val="00CF3071"/>
    <w:rsid w:val="00D04BA3"/>
    <w:rsid w:val="00D05725"/>
    <w:rsid w:val="00D14EE7"/>
    <w:rsid w:val="00D14F7A"/>
    <w:rsid w:val="00D174C0"/>
    <w:rsid w:val="00D253C8"/>
    <w:rsid w:val="00D33FEF"/>
    <w:rsid w:val="00D3773D"/>
    <w:rsid w:val="00D479E8"/>
    <w:rsid w:val="00D50DF4"/>
    <w:rsid w:val="00D53EFF"/>
    <w:rsid w:val="00D80178"/>
    <w:rsid w:val="00D86057"/>
    <w:rsid w:val="00D90BD4"/>
    <w:rsid w:val="00D94D8F"/>
    <w:rsid w:val="00DA6578"/>
    <w:rsid w:val="00DB2518"/>
    <w:rsid w:val="00DB77D9"/>
    <w:rsid w:val="00DD34A6"/>
    <w:rsid w:val="00DE17A1"/>
    <w:rsid w:val="00DF583C"/>
    <w:rsid w:val="00DF6285"/>
    <w:rsid w:val="00DF7E2B"/>
    <w:rsid w:val="00E01051"/>
    <w:rsid w:val="00E27EB3"/>
    <w:rsid w:val="00E30A25"/>
    <w:rsid w:val="00E44BDB"/>
    <w:rsid w:val="00E55107"/>
    <w:rsid w:val="00E56A13"/>
    <w:rsid w:val="00E65960"/>
    <w:rsid w:val="00E72DBF"/>
    <w:rsid w:val="00E76817"/>
    <w:rsid w:val="00EA3DD1"/>
    <w:rsid w:val="00EA4A7C"/>
    <w:rsid w:val="00EC1C42"/>
    <w:rsid w:val="00EC7969"/>
    <w:rsid w:val="00ED7CD5"/>
    <w:rsid w:val="00EE7813"/>
    <w:rsid w:val="00EF274B"/>
    <w:rsid w:val="00F00F29"/>
    <w:rsid w:val="00F03D1E"/>
    <w:rsid w:val="00F14CB6"/>
    <w:rsid w:val="00F30AB8"/>
    <w:rsid w:val="00F322CD"/>
    <w:rsid w:val="00F3356F"/>
    <w:rsid w:val="00F4687F"/>
    <w:rsid w:val="00F50A18"/>
    <w:rsid w:val="00F64887"/>
    <w:rsid w:val="00F6536B"/>
    <w:rsid w:val="00F757ED"/>
    <w:rsid w:val="00F812CF"/>
    <w:rsid w:val="00F854A4"/>
    <w:rsid w:val="00F9463F"/>
    <w:rsid w:val="00F97A22"/>
    <w:rsid w:val="00FB4D3D"/>
    <w:rsid w:val="00FB62E5"/>
    <w:rsid w:val="00FB6569"/>
    <w:rsid w:val="00FC20EF"/>
    <w:rsid w:val="00FD711A"/>
    <w:rsid w:val="00FF2EFB"/>
    <w:rsid w:val="00F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923D1"/>
  <w15:docId w15:val="{B1E2F127-1800-4B58-B10F-A74D2329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3CF"/>
    <w:pPr>
      <w:keepLines/>
    </w:pPr>
    <w:rPr>
      <w:rFonts w:ascii="Arial" w:hAnsi="Arial" w:cs="Arial"/>
      <w:color w:val="000000"/>
      <w:position w:val="-1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1F50FA"/>
    <w:pPr>
      <w:spacing w:after="120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1107"/>
    <w:pPr>
      <w:keepNext/>
      <w:spacing w:before="200"/>
      <w:outlineLvl w:val="1"/>
    </w:pPr>
    <w:rPr>
      <w:rFonts w:eastAsiaTheme="majorEastAsia" w:cstheme="majorBidi"/>
      <w:b/>
      <w:bCs/>
      <w:color w:val="auto"/>
      <w:sz w:val="28"/>
      <w:szCs w:val="28"/>
      <w:lang w:val="nb-NO"/>
    </w:rPr>
  </w:style>
  <w:style w:type="paragraph" w:styleId="Heading3">
    <w:name w:val="heading 3"/>
    <w:basedOn w:val="Normal"/>
    <w:next w:val="Normal"/>
    <w:link w:val="Heading3Char"/>
    <w:qFormat/>
    <w:rsid w:val="001B013A"/>
    <w:pPr>
      <w:keepNext/>
      <w:spacing w:before="200"/>
      <w:outlineLvl w:val="2"/>
    </w:pPr>
    <w:rPr>
      <w:rFonts w:eastAsiaTheme="majorEastAsia" w:cstheme="majorBidi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1F50FA"/>
    <w:pPr>
      <w:spacing w:after="120"/>
      <w:contextualSpacing/>
    </w:pPr>
    <w:rPr>
      <w:rFonts w:eastAsiaTheme="majorEastAsia"/>
      <w:b/>
      <w:color w:val="auto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50FA"/>
    <w:rPr>
      <w:rFonts w:ascii="Arial" w:eastAsiaTheme="majorEastAsia" w:hAnsi="Arial" w:cs="Arial"/>
      <w:b/>
      <w:spacing w:val="-10"/>
      <w:kern w:val="28"/>
      <w:sz w:val="40"/>
      <w:szCs w:val="40"/>
      <w:lang w:val="en-US" w:eastAsia="en-US"/>
    </w:rPr>
  </w:style>
  <w:style w:type="paragraph" w:customStyle="1" w:styleId="Reference">
    <w:name w:val="Reference"/>
    <w:rsid w:val="006A4ED3"/>
    <w:pPr>
      <w:spacing w:line="360" w:lineRule="auto"/>
    </w:pPr>
    <w:rPr>
      <w:rFonts w:ascii="Arial" w:hAnsi="Arial"/>
      <w:sz w:val="16"/>
      <w:lang w:val="nb-NO" w:eastAsia="en-US"/>
    </w:rPr>
  </w:style>
  <w:style w:type="table" w:styleId="TableGrid">
    <w:name w:val="Table Grid"/>
    <w:basedOn w:val="TableNormal"/>
    <w:rsid w:val="00BE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5419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419D8"/>
    <w:rPr>
      <w:rFonts w:ascii="Tahoma" w:hAnsi="Tahoma" w:cs="Tahoma"/>
      <w:color w:val="000000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A50BE"/>
    <w:rPr>
      <w:color w:val="808080"/>
    </w:rPr>
  </w:style>
  <w:style w:type="paragraph" w:styleId="Header">
    <w:name w:val="header"/>
    <w:basedOn w:val="Normal"/>
    <w:link w:val="HeaderChar"/>
    <w:unhideWhenUsed/>
    <w:rsid w:val="00CD63CF"/>
    <w:pPr>
      <w:jc w:val="right"/>
    </w:pPr>
    <w:rPr>
      <w:b/>
      <w:color w:val="4D4F4B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CD63CF"/>
    <w:rPr>
      <w:rFonts w:ascii="Arial" w:hAnsi="Arial" w:cs="Arial"/>
      <w:b/>
      <w:color w:val="4D4F4B"/>
      <w:position w:val="-10"/>
      <w:sz w:val="32"/>
      <w:szCs w:val="32"/>
      <w:lang w:eastAsia="en-US"/>
    </w:rPr>
  </w:style>
  <w:style w:type="paragraph" w:styleId="Footer">
    <w:name w:val="footer"/>
    <w:basedOn w:val="Normal"/>
    <w:link w:val="FooterChar"/>
    <w:unhideWhenUsed/>
    <w:rsid w:val="00CD63CF"/>
  </w:style>
  <w:style w:type="character" w:customStyle="1" w:styleId="FooterChar">
    <w:name w:val="Footer Char"/>
    <w:basedOn w:val="DefaultParagraphFont"/>
    <w:link w:val="Footer"/>
    <w:rsid w:val="00CD63CF"/>
    <w:rPr>
      <w:rFonts w:ascii="Arial" w:hAnsi="Arial" w:cs="Arial"/>
      <w:color w:val="000000"/>
      <w:position w:val="-10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821107"/>
    <w:rPr>
      <w:rFonts w:ascii="Arial" w:eastAsiaTheme="majorEastAsia" w:hAnsi="Arial" w:cstheme="majorBidi"/>
      <w:b/>
      <w:bCs/>
      <w:position w:val="-10"/>
      <w:sz w:val="28"/>
      <w:szCs w:val="28"/>
      <w:lang w:val="nb-NO" w:eastAsia="en-US"/>
    </w:rPr>
  </w:style>
  <w:style w:type="character" w:customStyle="1" w:styleId="Heading3Char">
    <w:name w:val="Heading 3 Char"/>
    <w:basedOn w:val="DefaultParagraphFont"/>
    <w:link w:val="Heading3"/>
    <w:rsid w:val="001B013A"/>
    <w:rPr>
      <w:rFonts w:ascii="Arial" w:eastAsiaTheme="majorEastAsia" w:hAnsi="Arial" w:cstheme="majorBidi"/>
      <w:b/>
      <w:bCs/>
      <w:sz w:val="22"/>
      <w:lang w:eastAsia="en-US"/>
    </w:rPr>
  </w:style>
  <w:style w:type="character" w:styleId="Hyperlink">
    <w:name w:val="Hyperlink"/>
    <w:basedOn w:val="DefaultParagraphFont"/>
    <w:rsid w:val="00AF7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ornil\AppData\Roaming\Microsoft\Templates\Blank%20with%20logo.dotx" TargetMode="External"/></Relationships>
</file>

<file path=word/theme/theme1.xml><?xml version="1.0" encoding="utf-8"?>
<a:theme xmlns:a="http://schemas.openxmlformats.org/drawingml/2006/main" name="Office Theme">
  <a:themeElements>
    <a:clrScheme name="Dynea">
      <a:dk1>
        <a:sysClr val="windowText" lastClr="000000"/>
      </a:dk1>
      <a:lt1>
        <a:sysClr val="window" lastClr="FFFFFF"/>
      </a:lt1>
      <a:dk2>
        <a:srgbClr val="0099A1"/>
      </a:dk2>
      <a:lt2>
        <a:srgbClr val="E8DFD3"/>
      </a:lt2>
      <a:accent1>
        <a:srgbClr val="89BC40"/>
      </a:accent1>
      <a:accent2>
        <a:srgbClr val="ED503A"/>
      </a:accent2>
      <a:accent3>
        <a:srgbClr val="4D4F4B"/>
      </a:accent3>
      <a:accent4>
        <a:srgbClr val="72A441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E7832-A5D1-4360-834D-223CD74C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0</TotalTime>
  <Pages>2</Pages>
  <Words>796</Words>
  <Characters>4182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Your ref</vt:lpstr>
      <vt:lpstr>Your ref</vt:lpstr>
    </vt:vector>
  </TitlesOfParts>
  <Company>Dynea ASA</Company>
  <LinksUpToDate>false</LinksUpToDate>
  <CharactersWithSpaces>4969</CharactersWithSpaces>
  <SharedDoc>false</SharedDoc>
  <HLinks>
    <vt:vector size="12" baseType="variant">
      <vt:variant>
        <vt:i4>5111821</vt:i4>
      </vt:variant>
      <vt:variant>
        <vt:i4>24</vt:i4>
      </vt:variant>
      <vt:variant>
        <vt:i4>0</vt:i4>
      </vt:variant>
      <vt:variant>
        <vt:i4>5</vt:i4>
      </vt:variant>
      <vt:variant>
        <vt:lpwstr>http://www.dynea.com/</vt:lpwstr>
      </vt:variant>
      <vt:variant>
        <vt:lpwstr/>
      </vt:variant>
      <vt:variant>
        <vt:i4>7012356</vt:i4>
      </vt:variant>
      <vt:variant>
        <vt:i4>2471</vt:i4>
      </vt:variant>
      <vt:variant>
        <vt:i4>1025</vt:i4>
      </vt:variant>
      <vt:variant>
        <vt:i4>1</vt:i4>
      </vt:variant>
      <vt:variant>
        <vt:lpwstr>cid:image007.png@01D01729.989B31B0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</dc:title>
  <dc:creator>susornil</dc:creator>
  <cp:lastModifiedBy>Sigurd Skogestad</cp:lastModifiedBy>
  <cp:revision>5</cp:revision>
  <cp:lastPrinted>2015-07-20T07:42:00Z</cp:lastPrinted>
  <dcterms:created xsi:type="dcterms:W3CDTF">2022-02-04T09:30:00Z</dcterms:created>
  <dcterms:modified xsi:type="dcterms:W3CDTF">2022-02-07T08:28:00Z</dcterms:modified>
  <cp:category>Letter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ynoAddr00">
    <vt:lpwstr>Dynea ASA</vt:lpwstr>
  </property>
  <property fmtid="{D5CDD505-2E9C-101B-9397-08002B2CF9AE}" pid="3" name="DynoAddr01">
    <vt:lpwstr>Svelleveien 33</vt:lpwstr>
  </property>
  <property fmtid="{D5CDD505-2E9C-101B-9397-08002B2CF9AE}" pid="4" name="DynoAddr02">
    <vt:lpwstr>P.O. Box 160</vt:lpwstr>
  </property>
  <property fmtid="{D5CDD505-2E9C-101B-9397-08002B2CF9AE}" pid="5" name="DynoAddr03">
    <vt:lpwstr>N-2001 Lillestrøm</vt:lpwstr>
  </property>
  <property fmtid="{D5CDD505-2E9C-101B-9397-08002B2CF9AE}" pid="6" name="DynoAddr04">
    <vt:lpwstr>Norway</vt:lpwstr>
  </property>
  <property fmtid="{D5CDD505-2E9C-101B-9397-08002B2CF9AE}" pid="7" name="DynoAddr05">
    <vt:lpwstr/>
  </property>
  <property fmtid="{D5CDD505-2E9C-101B-9397-08002B2CF9AE}" pid="8" name="DynoAddr06">
    <vt:lpwstr>Tel.: +47 63 89 71 00</vt:lpwstr>
  </property>
  <property fmtid="{D5CDD505-2E9C-101B-9397-08002B2CF9AE}" pid="9" name="DynoAddr07">
    <vt:lpwstr>Fax.: +47 63 89 76 10</vt:lpwstr>
  </property>
  <property fmtid="{D5CDD505-2E9C-101B-9397-08002B2CF9AE}" pid="10" name="DynoAddr08">
    <vt:lpwstr/>
  </property>
  <property fmtid="{D5CDD505-2E9C-101B-9397-08002B2CF9AE}" pid="11" name="DynoAddr09">
    <vt:lpwstr/>
  </property>
  <property fmtid="{D5CDD505-2E9C-101B-9397-08002B2CF9AE}" pid="12" name="DynoAddr10">
    <vt:lpwstr/>
  </property>
  <property fmtid="{D5CDD505-2E9C-101B-9397-08002B2CF9AE}" pid="13" name="DynoAddr11">
    <vt:lpwstr/>
  </property>
  <property fmtid="{D5CDD505-2E9C-101B-9397-08002B2CF9AE}" pid="14" name="DynoAddr12">
    <vt:lpwstr>Trade Reg.No.</vt:lpwstr>
  </property>
  <property fmtid="{D5CDD505-2E9C-101B-9397-08002B2CF9AE}" pid="15" name="DynoAddr13">
    <vt:lpwstr>NO 820 051 122 MVA</vt:lpwstr>
  </property>
  <property fmtid="{D5CDD505-2E9C-101B-9397-08002B2CF9AE}" pid="16" name="DynoAddr14">
    <vt:lpwstr/>
  </property>
  <property fmtid="{D5CDD505-2E9C-101B-9397-08002B2CF9AE}" pid="17" name="DynoAddr15">
    <vt:lpwstr/>
  </property>
  <property fmtid="{D5CDD505-2E9C-101B-9397-08002B2CF9AE}" pid="18" name="DynoAddr16">
    <vt:lpwstr/>
  </property>
  <property fmtid="{D5CDD505-2E9C-101B-9397-08002B2CF9AE}" pid="19" name="DynoAddr17">
    <vt:lpwstr/>
  </property>
  <property fmtid="{D5CDD505-2E9C-101B-9397-08002B2CF9AE}" pid="20" name="DynoAddr18">
    <vt:lpwstr/>
  </property>
  <property fmtid="{D5CDD505-2E9C-101B-9397-08002B2CF9AE}" pid="21" name="DynoAddr19">
    <vt:lpwstr/>
  </property>
  <property fmtid="{D5CDD505-2E9C-101B-9397-08002B2CF9AE}" pid="22" name="DynoAddr20">
    <vt:lpwstr/>
  </property>
  <property fmtid="{D5CDD505-2E9C-101B-9397-08002B2CF9AE}" pid="23" name="DynoAddr21">
    <vt:lpwstr/>
  </property>
  <property fmtid="{D5CDD505-2E9C-101B-9397-08002B2CF9AE}" pid="24" name="DynoAddr22">
    <vt:lpwstr/>
  </property>
  <property fmtid="{D5CDD505-2E9C-101B-9397-08002B2CF9AE}" pid="25" name="DynoAddr23">
    <vt:lpwstr/>
  </property>
  <property fmtid="{D5CDD505-2E9C-101B-9397-08002B2CF9AE}" pid="26" name="DynoAddr24">
    <vt:lpwstr/>
  </property>
  <property fmtid="{D5CDD505-2E9C-101B-9397-08002B2CF9AE}" pid="27" name="DynoAddr25">
    <vt:lpwstr/>
  </property>
  <property fmtid="{D5CDD505-2E9C-101B-9397-08002B2CF9AE}" pid="28" name="Letter">
    <vt:lpwstr>Brev</vt:lpwstr>
  </property>
  <property fmtid="{D5CDD505-2E9C-101B-9397-08002B2CF9AE}" pid="29" name="DynoHead1">
    <vt:lpwstr>Dynea ASA</vt:lpwstr>
  </property>
  <property fmtid="{D5CDD505-2E9C-101B-9397-08002B2CF9AE}" pid="30" name="DynoHead2">
    <vt:lpwstr/>
  </property>
  <property fmtid="{D5CDD505-2E9C-101B-9397-08002B2CF9AE}" pid="31" name="DynoHead3">
    <vt:lpwstr>Wood and Specialty Adhesives</vt:lpwstr>
  </property>
  <property fmtid="{D5CDD505-2E9C-101B-9397-08002B2CF9AE}" pid="32" name="DynoHead4">
    <vt:lpwstr/>
  </property>
  <property fmtid="{D5CDD505-2E9C-101B-9397-08002B2CF9AE}" pid="33" name="DynoFrame">
    <vt:lpwstr>0</vt:lpwstr>
  </property>
  <property fmtid="{D5CDD505-2E9C-101B-9397-08002B2CF9AE}" pid="34" name="DynoGreeting">
    <vt:lpwstr>Yours sincerely,</vt:lpwstr>
  </property>
  <property fmtid="{D5CDD505-2E9C-101B-9397-08002B2CF9AE}" pid="35" name="LetDate">
    <vt:lpwstr>Date:</vt:lpwstr>
  </property>
  <property fmtid="{D5CDD505-2E9C-101B-9397-08002B2CF9AE}" pid="36" name="LetFile">
    <vt:lpwstr/>
  </property>
  <property fmtid="{D5CDD505-2E9C-101B-9397-08002B2CF9AE}" pid="37" name="LetOurRef">
    <vt:lpwstr>Our ref.:</vt:lpwstr>
  </property>
  <property fmtid="{D5CDD505-2E9C-101B-9397-08002B2CF9AE}" pid="38" name="LetYourRef">
    <vt:lpwstr>Your ref.:</vt:lpwstr>
  </property>
</Properties>
</file>