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3A" w:rsidRPr="00001F8B" w:rsidRDefault="00001F8B">
      <w:pPr>
        <w:rPr>
          <w:b/>
        </w:rPr>
      </w:pPr>
      <w:bookmarkStart w:id="0" w:name="_GoBack"/>
      <w:bookmarkEnd w:id="0"/>
      <w:r>
        <w:rPr>
          <w:b/>
        </w:rPr>
        <w:t>Masteroppgaver våren 2016</w:t>
      </w:r>
      <w:r w:rsidR="00C2415D" w:rsidRPr="00001F8B">
        <w:rPr>
          <w:b/>
        </w:rPr>
        <w:t xml:space="preserve"> for Sigurd </w:t>
      </w:r>
      <w:proofErr w:type="spellStart"/>
      <w:r w:rsidR="00C2415D" w:rsidRPr="00001F8B">
        <w:rPr>
          <w:b/>
        </w:rPr>
        <w:t>Skogestad</w:t>
      </w:r>
      <w:proofErr w:type="spellEnd"/>
    </w:p>
    <w:p w:rsidR="00001F8B" w:rsidRDefault="00001F8B"/>
    <w:p w:rsidR="00001F8B" w:rsidRDefault="00001F8B"/>
    <w:p w:rsidR="00001F8B" w:rsidRPr="00001F8B" w:rsidRDefault="00001F8B">
      <w:pPr>
        <w:rPr>
          <w:b/>
        </w:rPr>
      </w:pPr>
    </w:p>
    <w:p w:rsidR="00001F8B" w:rsidRPr="00001F8B" w:rsidRDefault="00001F8B" w:rsidP="00001F8B">
      <w:pPr>
        <w:rPr>
          <w:b/>
          <w:lang w:val="en-US"/>
        </w:rPr>
      </w:pPr>
      <w:r w:rsidRPr="00001F8B">
        <w:rPr>
          <w:b/>
          <w:lang w:val="en-US"/>
        </w:rPr>
        <w:t xml:space="preserve">Modelling, optimization and control of subsea separation </w:t>
      </w:r>
    </w:p>
    <w:p w:rsidR="00001F8B" w:rsidRDefault="00001F8B" w:rsidP="00001F8B">
      <w:pPr>
        <w:rPr>
          <w:lang w:val="en-US"/>
        </w:rPr>
      </w:pPr>
      <w:r>
        <w:rPr>
          <w:lang w:val="en-US"/>
        </w:rPr>
        <w:t xml:space="preserve">Co-supervisor: </w:t>
      </w:r>
      <w:proofErr w:type="spellStart"/>
      <w:r>
        <w:rPr>
          <w:lang w:val="en-US"/>
        </w:rPr>
        <w:t>Christop</w:t>
      </w:r>
      <w:proofErr w:type="spellEnd"/>
      <w:r>
        <w:rPr>
          <w:lang w:val="en-US"/>
        </w:rPr>
        <w:t xml:space="preserve"> </w:t>
      </w:r>
      <w:proofErr w:type="spellStart"/>
      <w:r>
        <w:rPr>
          <w:lang w:val="en-US"/>
        </w:rPr>
        <w:t>Backi</w:t>
      </w:r>
      <w:proofErr w:type="spellEnd"/>
    </w:p>
    <w:p w:rsidR="00001F8B" w:rsidRDefault="00001F8B" w:rsidP="00001F8B">
      <w:pPr>
        <w:rPr>
          <w:lang w:val="en-US"/>
        </w:rPr>
      </w:pPr>
      <w:r>
        <w:rPr>
          <w:lang w:val="en-US"/>
        </w:rPr>
        <w:t xml:space="preserve">This project is part of the SUBPRO project which is a new large research project in cooperation with Statoil, Shell, </w:t>
      </w:r>
      <w:proofErr w:type="spellStart"/>
      <w:r>
        <w:rPr>
          <w:lang w:val="en-US"/>
        </w:rPr>
        <w:t>Engie</w:t>
      </w:r>
      <w:proofErr w:type="spellEnd"/>
      <w:r>
        <w:rPr>
          <w:lang w:val="en-US"/>
        </w:rPr>
        <w:t xml:space="preserve">, Lundin, Aker Solution, ABB and DNV GL. </w:t>
      </w:r>
    </w:p>
    <w:p w:rsidR="00001F8B" w:rsidRPr="00C2415D" w:rsidRDefault="00001F8B" w:rsidP="00001F8B">
      <w:pPr>
        <w:rPr>
          <w:lang w:val="en-US"/>
        </w:rPr>
      </w:pPr>
      <w:r>
        <w:rPr>
          <w:lang w:val="en-US"/>
        </w:rPr>
        <w:t xml:space="preserve">The separation involves gas-liquid or liquid-liquid separation using gravity separators and/or cyclones. The model may be in Matlab, Hysys or </w:t>
      </w:r>
      <w:proofErr w:type="spellStart"/>
      <w:r>
        <w:rPr>
          <w:lang w:val="en-US"/>
        </w:rPr>
        <w:t>Modellica</w:t>
      </w:r>
      <w:proofErr w:type="spellEnd"/>
      <w:r>
        <w:rPr>
          <w:lang w:val="en-US"/>
        </w:rPr>
        <w:t xml:space="preserve">. </w:t>
      </w:r>
    </w:p>
    <w:p w:rsidR="00C2415D" w:rsidRPr="00C2415D" w:rsidRDefault="00C2415D">
      <w:r w:rsidRPr="00C2415D">
        <w:br w:type="page"/>
      </w:r>
    </w:p>
    <w:p w:rsidR="00C2415D" w:rsidRPr="00C2415D" w:rsidRDefault="00C2415D" w:rsidP="00C2415D">
      <w:pPr>
        <w:spacing w:after="360"/>
        <w:ind w:left="1412" w:hanging="1412"/>
        <w:rPr>
          <w:rFonts w:cs="Arial"/>
          <w:b/>
          <w:lang w:val="en-US"/>
        </w:rPr>
      </w:pPr>
      <w:r w:rsidRPr="00001F8B">
        <w:rPr>
          <w:rFonts w:cs="Arial"/>
          <w:b/>
          <w:lang w:val="en-US"/>
        </w:rPr>
        <w:lastRenderedPageBreak/>
        <w:t>Investigation of surrogate models with the Ammonia synth</w:t>
      </w:r>
      <w:r w:rsidRPr="00001F8B">
        <w:rPr>
          <w:rFonts w:cs="Arial"/>
          <w:b/>
          <w:lang w:val="en-US"/>
        </w:rPr>
        <w:t>e</w:t>
      </w:r>
      <w:r w:rsidRPr="00001F8B">
        <w:rPr>
          <w:rFonts w:cs="Arial"/>
          <w:b/>
          <w:lang w:val="en-US"/>
        </w:rPr>
        <w:t>sis loop as case study</w:t>
      </w:r>
      <w:r w:rsidRPr="00C2415D">
        <w:rPr>
          <w:rFonts w:cs="Arial"/>
          <w:lang w:val="en-US"/>
        </w:rPr>
        <w:t>.</w:t>
      </w:r>
    </w:p>
    <w:p w:rsidR="00C2415D" w:rsidRPr="00C2415D" w:rsidRDefault="00C2415D" w:rsidP="00C2415D">
      <w:pPr>
        <w:rPr>
          <w:rFonts w:cs="Arial"/>
          <w:lang w:val="en-US"/>
        </w:rPr>
      </w:pPr>
      <w:r w:rsidRPr="00C2415D">
        <w:rPr>
          <w:rFonts w:cs="Arial"/>
          <w:lang w:val="en-US"/>
        </w:rPr>
        <w:t>Main supervisor:</w:t>
      </w:r>
      <w:r w:rsidRPr="00C2415D">
        <w:rPr>
          <w:rFonts w:cs="Arial"/>
          <w:lang w:val="en-US"/>
        </w:rPr>
        <w:tab/>
        <w:t>Sigurd Skogestad</w:t>
      </w:r>
      <w:r w:rsidRPr="00C2415D">
        <w:rPr>
          <w:rFonts w:cs="Arial"/>
          <w:lang w:val="en-US"/>
        </w:rPr>
        <w:br/>
        <w:t>Co Supervisor:</w:t>
      </w:r>
      <w:r w:rsidRPr="00C2415D">
        <w:rPr>
          <w:rFonts w:cs="Arial"/>
          <w:lang w:val="en-US"/>
        </w:rPr>
        <w:tab/>
        <w:t>Julian Straus</w:t>
      </w:r>
    </w:p>
    <w:p w:rsidR="00C2415D" w:rsidRPr="00C2415D" w:rsidRDefault="00C2415D" w:rsidP="00C2415D">
      <w:pPr>
        <w:jc w:val="both"/>
        <w:rPr>
          <w:rFonts w:cs="Arial"/>
          <w:lang w:val="en-US"/>
        </w:rPr>
      </w:pPr>
      <w:r w:rsidRPr="00C2415D">
        <w:rPr>
          <w:rFonts w:cs="Arial"/>
          <w:lang w:val="en-US"/>
        </w:rPr>
        <w:t>Optimal operation of existing plants is generally needed in highly competitive markets like the ammonia industry. This leads to highly integrated energy and material streams within the process. Most processes are modeled using a sequential-modular approach, in which unit operations (UO) are solved sequentially. Due to the integrated nature of the processes, sol</w:t>
      </w:r>
      <w:r w:rsidRPr="00C2415D">
        <w:rPr>
          <w:rFonts w:cs="Arial"/>
          <w:lang w:val="en-US"/>
        </w:rPr>
        <w:t>v</w:t>
      </w:r>
      <w:r w:rsidRPr="00C2415D">
        <w:rPr>
          <w:rFonts w:cs="Arial"/>
          <w:lang w:val="en-US"/>
        </w:rPr>
        <w:t>ing a flowsheet can take long. In addition, flowsheet simulators are designed as black-box models which are not allowing the optimizer algorithm to access the underlying equations. As a result, optimal conditions are difficult to obtain.</w:t>
      </w:r>
    </w:p>
    <w:p w:rsidR="00C2415D" w:rsidRPr="00C2415D" w:rsidRDefault="00C2415D" w:rsidP="00C2415D">
      <w:pPr>
        <w:jc w:val="both"/>
        <w:rPr>
          <w:rFonts w:cs="Arial"/>
          <w:lang w:val="en-US"/>
        </w:rPr>
      </w:pPr>
      <w:r w:rsidRPr="00C2415D">
        <w:rPr>
          <w:rFonts w:cs="Arial"/>
          <w:lang w:val="en-US"/>
        </w:rPr>
        <w:t>Our idea to circumvent this problem is the introduction of surrogate models, which can be seen as defined auxiliary models mapping the process. The advantage is given by simplific</w:t>
      </w:r>
      <w:r w:rsidRPr="00C2415D">
        <w:rPr>
          <w:rFonts w:cs="Arial"/>
          <w:lang w:val="en-US"/>
        </w:rPr>
        <w:t>a</w:t>
      </w:r>
      <w:r w:rsidRPr="00C2415D">
        <w:rPr>
          <w:rFonts w:cs="Arial"/>
          <w:lang w:val="en-US"/>
        </w:rPr>
        <w:t>tion and access to the mathematical foundation of the model. In addition, variable transfo</w:t>
      </w:r>
      <w:r w:rsidRPr="00C2415D">
        <w:rPr>
          <w:rFonts w:cs="Arial"/>
          <w:lang w:val="en-US"/>
        </w:rPr>
        <w:t>r</w:t>
      </w:r>
      <w:r w:rsidRPr="00C2415D">
        <w:rPr>
          <w:rFonts w:cs="Arial"/>
          <w:lang w:val="en-US"/>
        </w:rPr>
        <w:t>mation and application of process knowledge can be utilized in defining the surrogate model. The core of the project is hence given by:</w:t>
      </w:r>
    </w:p>
    <w:p w:rsidR="00C2415D" w:rsidRPr="00C2415D" w:rsidRDefault="00C2415D" w:rsidP="00C2415D">
      <w:pPr>
        <w:pStyle w:val="ListParagraph"/>
        <w:numPr>
          <w:ilvl w:val="0"/>
          <w:numId w:val="3"/>
        </w:numPr>
        <w:spacing w:after="240"/>
        <w:contextualSpacing/>
        <w:jc w:val="both"/>
        <w:rPr>
          <w:rFonts w:cs="Arial"/>
          <w:lang w:val="en-US"/>
        </w:rPr>
      </w:pPr>
      <w:r w:rsidRPr="00C2415D">
        <w:rPr>
          <w:rFonts w:cs="Arial"/>
          <w:lang w:val="en-US"/>
        </w:rPr>
        <w:t>Analysis of state-of-the-art approaches for steady-state optimization.</w:t>
      </w:r>
    </w:p>
    <w:p w:rsidR="00C2415D" w:rsidRPr="00C2415D" w:rsidRDefault="00C2415D" w:rsidP="00C2415D">
      <w:pPr>
        <w:pStyle w:val="ListParagraph"/>
        <w:numPr>
          <w:ilvl w:val="0"/>
          <w:numId w:val="3"/>
        </w:numPr>
        <w:spacing w:after="240"/>
        <w:contextualSpacing/>
        <w:jc w:val="both"/>
        <w:rPr>
          <w:rFonts w:cs="Arial"/>
          <w:lang w:val="en-US"/>
        </w:rPr>
      </w:pPr>
      <w:r w:rsidRPr="00C2415D">
        <w:rPr>
          <w:rFonts w:cs="Arial"/>
          <w:lang w:val="en-US"/>
        </w:rPr>
        <w:t>Definition and design of the surrogate model.</w:t>
      </w:r>
    </w:p>
    <w:p w:rsidR="00C2415D" w:rsidRPr="00C2415D" w:rsidRDefault="00C2415D" w:rsidP="00C2415D">
      <w:pPr>
        <w:pStyle w:val="ListParagraph"/>
        <w:numPr>
          <w:ilvl w:val="0"/>
          <w:numId w:val="3"/>
        </w:numPr>
        <w:spacing w:after="240"/>
        <w:ind w:left="714" w:hanging="357"/>
        <w:contextualSpacing/>
        <w:jc w:val="both"/>
        <w:rPr>
          <w:rFonts w:cs="Arial"/>
          <w:lang w:val="en-US"/>
        </w:rPr>
      </w:pPr>
      <w:r w:rsidRPr="00C2415D">
        <w:rPr>
          <w:rFonts w:cs="Arial"/>
          <w:lang w:val="en-US"/>
        </w:rPr>
        <w:t>Implementation of a MATLAB/HYSYS interaction and analysis of the Model behavior.</w:t>
      </w:r>
    </w:p>
    <w:p w:rsidR="00C2415D" w:rsidRPr="00C2415D" w:rsidRDefault="00C2415D" w:rsidP="00C2415D">
      <w:pPr>
        <w:pStyle w:val="ListParagraph"/>
        <w:numPr>
          <w:ilvl w:val="0"/>
          <w:numId w:val="3"/>
        </w:numPr>
        <w:spacing w:after="240"/>
        <w:ind w:left="714" w:hanging="357"/>
        <w:contextualSpacing/>
        <w:jc w:val="both"/>
        <w:rPr>
          <w:rFonts w:cs="Arial"/>
          <w:lang w:val="en-US"/>
        </w:rPr>
      </w:pPr>
      <w:r w:rsidRPr="00C2415D">
        <w:rPr>
          <w:rFonts w:cs="Arial"/>
          <w:lang w:val="en-US"/>
        </w:rPr>
        <w:t>Definition of challenges and opportunities for future research.</w:t>
      </w:r>
    </w:p>
    <w:p w:rsidR="00C2415D" w:rsidRPr="00C2415D" w:rsidRDefault="00C2415D" w:rsidP="00C2415D">
      <w:pPr>
        <w:jc w:val="both"/>
        <w:rPr>
          <w:rFonts w:cs="Arial"/>
          <w:lang w:val="en-US"/>
        </w:rPr>
      </w:pPr>
      <w:r w:rsidRPr="00C2415D">
        <w:rPr>
          <w:rFonts w:cs="Arial"/>
          <w:lang w:val="en-US"/>
        </w:rPr>
        <w:t>This project requires basic knowledge in Aspen HYSYS and in optimization (TTK4135 Opt</w:t>
      </w:r>
      <w:r w:rsidRPr="00C2415D">
        <w:rPr>
          <w:rFonts w:cs="Arial"/>
          <w:lang w:val="en-US"/>
        </w:rPr>
        <w:t>i</w:t>
      </w:r>
      <w:r w:rsidRPr="00C2415D">
        <w:rPr>
          <w:rFonts w:cs="Arial"/>
          <w:lang w:val="en-US"/>
        </w:rPr>
        <w:t>mization and Control recommended, but not required. Advanced knowledge in MATLAB is additionally required.</w:t>
      </w:r>
    </w:p>
    <w:p w:rsidR="00C2415D" w:rsidRPr="00C2415D" w:rsidRDefault="00C2415D" w:rsidP="00C2415D">
      <w:pPr>
        <w:jc w:val="both"/>
        <w:rPr>
          <w:rFonts w:cs="Arial"/>
          <w:lang w:val="en-US"/>
        </w:rPr>
      </w:pPr>
      <w:r w:rsidRPr="00C2415D">
        <w:rPr>
          <w:rFonts w:cs="Arial"/>
          <w:lang w:val="en-US"/>
        </w:rPr>
        <w:t xml:space="preserve">The complete steady state model of the synthesis loop </w:t>
      </w:r>
      <w:proofErr w:type="gramStart"/>
      <w:r w:rsidRPr="00C2415D">
        <w:rPr>
          <w:rFonts w:cs="Arial"/>
          <w:lang w:val="en-US"/>
        </w:rPr>
        <w:t>is already existing</w:t>
      </w:r>
      <w:proofErr w:type="gramEnd"/>
      <w:r w:rsidRPr="00C2415D">
        <w:rPr>
          <w:rFonts w:cs="Arial"/>
          <w:lang w:val="en-US"/>
        </w:rPr>
        <w:t xml:space="preserve"> in HYSYS and will be used as starting point. This project is part of an industrial cooperation with Yara.</w:t>
      </w:r>
    </w:p>
    <w:p w:rsidR="00C2415D" w:rsidRPr="00C2415D" w:rsidRDefault="00C2415D" w:rsidP="00C2415D">
      <w:pPr>
        <w:jc w:val="both"/>
        <w:rPr>
          <w:rFonts w:cs="Arial"/>
          <w:lang w:val="en-US"/>
        </w:rPr>
      </w:pPr>
      <w:r w:rsidRPr="00C2415D">
        <w:rPr>
          <w:rFonts w:cs="Arial"/>
          <w:lang w:val="en-US"/>
        </w:rPr>
        <w:t>If questions arise and/or you are interested in the project, feel free to contact Julian Straus (</w:t>
      </w:r>
      <w:hyperlink r:id="rId6" w:history="1">
        <w:r w:rsidRPr="00C2415D">
          <w:rPr>
            <w:rStyle w:val="Hyperlink"/>
            <w:rFonts w:cs="Arial"/>
            <w:lang w:val="en-US"/>
          </w:rPr>
          <w:t>julian.straus@ntnu.no</w:t>
        </w:r>
      </w:hyperlink>
      <w:r w:rsidRPr="00C2415D">
        <w:rPr>
          <w:rFonts w:cs="Arial"/>
          <w:lang w:val="en-US"/>
        </w:rPr>
        <w:t>, or pass by in room K4-239).</w:t>
      </w:r>
    </w:p>
    <w:p w:rsidR="00C2415D" w:rsidRPr="00C2415D" w:rsidRDefault="00C2415D" w:rsidP="00C2415D">
      <w:pPr>
        <w:jc w:val="both"/>
        <w:rPr>
          <w:rFonts w:ascii="Arial" w:hAnsi="Arial" w:cs="Arial"/>
          <w:lang w:val="en-US"/>
        </w:rPr>
      </w:pPr>
      <w:r w:rsidRPr="00C2415D">
        <w:rPr>
          <w:rFonts w:ascii="Arial" w:hAnsi="Arial" w:cs="Arial"/>
          <w:noProof/>
          <w:lang w:eastAsia="nb-NO"/>
        </w:rPr>
        <w:drawing>
          <wp:inline distT="0" distB="0" distL="0" distR="0" wp14:anchorId="0862F173" wp14:editId="56D58EAF">
            <wp:extent cx="4278573" cy="229515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4.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0242" cy="2296054"/>
                    </a:xfrm>
                    <a:prstGeom prst="rect">
                      <a:avLst/>
                    </a:prstGeom>
                  </pic:spPr>
                </pic:pic>
              </a:graphicData>
            </a:graphic>
          </wp:inline>
        </w:drawing>
      </w:r>
    </w:p>
    <w:p w:rsidR="00001F8B" w:rsidRDefault="00001F8B">
      <w:pPr>
        <w:rPr>
          <w:b/>
          <w:lang w:val="en-US"/>
        </w:rPr>
      </w:pPr>
      <w:r>
        <w:rPr>
          <w:b/>
          <w:lang w:val="en-US"/>
        </w:rPr>
        <w:br w:type="page"/>
      </w:r>
    </w:p>
    <w:p w:rsidR="00C2415D" w:rsidRPr="00001F8B" w:rsidRDefault="00C2415D" w:rsidP="00C2415D">
      <w:pPr>
        <w:jc w:val="both"/>
        <w:rPr>
          <w:b/>
          <w:lang w:val="en-US"/>
        </w:rPr>
      </w:pPr>
      <w:r w:rsidRPr="00001F8B">
        <w:rPr>
          <w:b/>
          <w:lang w:val="en-US"/>
        </w:rPr>
        <w:lastRenderedPageBreak/>
        <w:t>Title: Optimal operation of small LNG refrigeration cycles</w:t>
      </w:r>
    </w:p>
    <w:p w:rsidR="00C2415D" w:rsidRPr="00C2415D" w:rsidRDefault="00C2415D" w:rsidP="00C2415D">
      <w:pPr>
        <w:jc w:val="both"/>
      </w:pPr>
      <w:r w:rsidRPr="00C2415D">
        <w:rPr>
          <w:b/>
        </w:rPr>
        <w:t>Supervisor:</w:t>
      </w:r>
      <w:r w:rsidRPr="00C2415D">
        <w:t xml:space="preserve"> Sigurd </w:t>
      </w:r>
      <w:proofErr w:type="spellStart"/>
      <w:r w:rsidRPr="00C2415D">
        <w:t>Skogestad</w:t>
      </w:r>
      <w:proofErr w:type="spellEnd"/>
      <w:r w:rsidRPr="00C2415D">
        <w:t xml:space="preserve"> (skoge@ntnu.no)</w:t>
      </w:r>
    </w:p>
    <w:p w:rsidR="00C2415D" w:rsidRPr="00C2415D" w:rsidRDefault="00C2415D" w:rsidP="00C2415D">
      <w:pPr>
        <w:jc w:val="both"/>
        <w:rPr>
          <w:lang w:val="en-US"/>
        </w:rPr>
      </w:pPr>
      <w:r w:rsidRPr="00C2415D">
        <w:rPr>
          <w:b/>
          <w:lang w:val="en-US"/>
        </w:rPr>
        <w:t>Co-supervisor:</w:t>
      </w:r>
      <w:r w:rsidRPr="00C2415D">
        <w:rPr>
          <w:lang w:val="en-US"/>
        </w:rPr>
        <w:t xml:space="preserve"> Adriana Reyes (adriana.r.lua@ntnu.no) </w:t>
      </w:r>
    </w:p>
    <w:p w:rsidR="00C2415D" w:rsidRPr="00C2415D" w:rsidRDefault="00C2415D" w:rsidP="00C2415D">
      <w:pPr>
        <w:spacing w:before="240" w:after="240"/>
        <w:jc w:val="both"/>
        <w:rPr>
          <w:lang w:val="en-US"/>
        </w:rPr>
      </w:pPr>
      <w:r w:rsidRPr="00C2415D">
        <w:rPr>
          <w:lang w:val="en-US"/>
        </w:rPr>
        <w:t xml:space="preserve">Natural gas is a fast growing energy resource in most regions of the world. Liquefaction plays an important role in the distribution of natural gas to locations in which pipeline transportation is not available.  Boil-off gas (BOG) is the natural gas that boils-off during the voyage of a liquefied natural gas (LNG) carrier.  Pressure in the tanks cannot exceed a certain limit and the common way to avoid overpressure is to burn BOG to onboard power steam turbines, or simply flare it. Small-scale LNG plants have been installed recently on LNG carriers to re-liquefy BOG, reducing product loss and minimizing flaring.   </w:t>
      </w:r>
    </w:p>
    <w:p w:rsidR="00C2415D" w:rsidRPr="00C2415D" w:rsidRDefault="00C2415D" w:rsidP="00C2415D">
      <w:pPr>
        <w:spacing w:after="240"/>
        <w:jc w:val="both"/>
        <w:rPr>
          <w:lang w:val="en-US"/>
        </w:rPr>
      </w:pPr>
      <w:r w:rsidRPr="00C2415D">
        <w:rPr>
          <w:lang w:val="en-US"/>
        </w:rPr>
        <w:t xml:space="preserve">The majority of small LNG plants are either onboard carriers or in remote locations, where </w:t>
      </w:r>
      <w:proofErr w:type="gramStart"/>
      <w:r w:rsidRPr="00C2415D">
        <w:rPr>
          <w:lang w:val="en-US"/>
        </w:rPr>
        <w:t>specialized staff</w:t>
      </w:r>
      <w:proofErr w:type="gramEnd"/>
      <w:r w:rsidRPr="00C2415D">
        <w:rPr>
          <w:lang w:val="en-US"/>
        </w:rPr>
        <w:t xml:space="preserve"> might not be available and there might be limitations for obtaining continuous or reliable information regarding the process.  This situation makes difficult to track changes in the process and to rely on onboard personnel to perform the appropriate adjustments every time a disturbance occurs. </w:t>
      </w:r>
    </w:p>
    <w:p w:rsidR="00C2415D" w:rsidRPr="00C2415D" w:rsidRDefault="00C2415D" w:rsidP="00C2415D">
      <w:pPr>
        <w:spacing w:after="240"/>
        <w:jc w:val="both"/>
        <w:rPr>
          <w:lang w:val="en-US"/>
        </w:rPr>
      </w:pPr>
      <w:r w:rsidRPr="00C2415D">
        <w:rPr>
          <w:lang w:val="en-US"/>
        </w:rPr>
        <w:t xml:space="preserve">The optimum operation point is determined by the natural gas feed composition and pressure, plant pressure, and ambient temperature. Ideally, refrigerant composition would be adjusted accordingly, but it is not a practical or even applicable solution. </w:t>
      </w:r>
    </w:p>
    <w:p w:rsidR="00C2415D" w:rsidRPr="00C2415D" w:rsidRDefault="00C2415D" w:rsidP="00C2415D">
      <w:pPr>
        <w:spacing w:after="240"/>
        <w:jc w:val="both"/>
        <w:rPr>
          <w:lang w:val="en-US"/>
        </w:rPr>
      </w:pPr>
      <w:r w:rsidRPr="00C2415D">
        <w:rPr>
          <w:lang w:val="en-US"/>
        </w:rPr>
        <w:t xml:space="preserve">This situation is an excellent example to explore the convenience of using self-optimizing control variables. The concept behind this is to maintain near-optimal (with acceptable loss) operation in presence of disturbances and implementation errors using constant set points </w:t>
      </w:r>
      <w:r w:rsidRPr="00C2415D">
        <w:fldChar w:fldCharType="begin" w:fldLock="1"/>
      </w:r>
      <w:r w:rsidRPr="00C2415D">
        <w:rPr>
          <w:lang w:val="en-US"/>
        </w:rPr>
        <w:instrText>ADDIN CSL_CITATION { "citationItems" : [ { "id" : "ITEM-1", "itemData" : { "DOI" : "10.1016/S0959-1524(00)00023-8", "ISSN" : "09591524", "abstract" : "Plantwide control is concerned with the structural decisions involved in the control system design of a chemical plant (C.S. Foss, Critique of chemical process control theory, AIChE Journal 19(2), 1973) 209\u2013214; \u201cWhich variables should be controlled, which variables should be measured, which inputs should be manipulated, and which links should be made between them?\u201d In particular, the first issue about which variables to control has received little attention. It is argued that the answer is related to finding a simple and robust way of implementing the economically optimal operating policy. The goal is to find a set of controlled variables which, when kept at constant setpoints, indirectly lead to near-optimal operation with acceptable loss. This is denoted \u201cself-optimizing\u201d control. Since the economics are determined by the overall plant behavior, it is necessary to take a plantwide perspective. A systematic procedure for finding suitable controlled variables based on only steady-state information is presented. Important steps are degree of freedom analysis, definition of optimal operation (cost and constraints), and evaluation of the loss when the controlled variables are kept constant rather than optimally adjusted. A case study yields very interesting insights into the control and maximum throughput of distillation columns.", "author" : [ { "dropping-particle" : "", "family" : "Skogestad", "given" : "Sigurd", "non-dropping-particle" : "", "parse-names" : false, "suffix" : "" } ], "container-title" : "Journal of Process Control", "id" : "ITEM-1", "issue" : "5", "issued" : { "date-parts" : [ [ "2000", "10" ] ] }, "page" : "487-507", "title" : "Plantwide control: the search for the self-optimizing control structure", "type" : "article-journal", "volume" : "10" }, "uris" : [ "http://www.mendeley.com/documents/?uuid=63e7e636-c01e-4e50-b298-e615ef9296d8" ] }, { "id" : "ITEM-2", "itemData" : { "DOI" : "10.1016/j.compchemeng.2004.07.011", "ISSN" : "00981354", "abstract" : "The topic of this paper is how to implement optimal decisions in an uncertain world. A study of how this is done in real systems\u2014from the nationwide optimization of the economy by the Central Bank to the optimal use of resources in a single cell\u2014shows that a common approach is to use feedback strategies where selected controlled variables are kept at constant values. For example, in order to optimize the wealth of a country (overall objective), the Central Bank may to attempt to keep the inflation constant (selected controlled variable) by adjusting the interest rate (independent input variable). The underlying idea is that the system behavior is indirectly optimized by keeping selected controlled variables at given constant values (setpoints). In the paper this idea of \u201cself-optimizing control\u201d is explained and illustrated on a large number of examples.", "author" : [ { "dropping-particle" : "", "family" : "Skogestad", "given" : "Sigurd", "non-dropping-particle" : "", "parse-names" : false, "suffix" : "" } ], "container-title" : "Computers &amp; Chemical Engineering", "id" : "ITEM-2", "issue" : "1", "issued" : { "date-parts" : [ [ "2004", "12" ] ] }, "page" : "127-137", "title" : "Near-optimal operation by self-optimizing control: from process control to marathon running and business systems", "type" : "article-journal", "volume" : "29" }, "uris" : [ "http://www.mendeley.com/documents/?uuid=a363ec76-8b16-4cf0-aaed-4384519afd39" ] } ], "mendeley" : { "formattedCitation" : "(Skogestad 2000, 2004)", "plainTextFormattedCitation" : "(Skogestad 2000, 2004)", "previouslyFormattedCitation" : "(Skogestad 2000, 2004)" }, "properties" : { "noteIndex" : 0 }, "schema" : "https://github.com/citation-style-language/schema/raw/master/csl-citation.json" }</w:instrText>
      </w:r>
      <w:r w:rsidRPr="00C2415D">
        <w:fldChar w:fldCharType="separate"/>
      </w:r>
      <w:r w:rsidRPr="00C2415D">
        <w:rPr>
          <w:noProof/>
          <w:lang w:val="en-US"/>
        </w:rPr>
        <w:t>(Skogestad 2000, 2004)</w:t>
      </w:r>
      <w:r w:rsidRPr="00C2415D">
        <w:fldChar w:fldCharType="end"/>
      </w:r>
      <w:r w:rsidRPr="00C2415D">
        <w:rPr>
          <w:lang w:val="en-US"/>
        </w:rPr>
        <w:t xml:space="preserve">.  In this procedure the identification of the steady-state degrees of freedom and the definition of the throughput manipulator (TPM) are important steps. It should be kept in mind that refrigeration processes are commonly closed systems and this brings additional challenges </w:t>
      </w:r>
      <w:r w:rsidRPr="00C2415D">
        <w:fldChar w:fldCharType="begin" w:fldLock="1"/>
      </w:r>
      <w:r w:rsidRPr="00C2415D">
        <w:rPr>
          <w:lang w:val="en-US"/>
        </w:rPr>
        <w:instrText>ADDIN CSL_CITATION { "citationItems" : [ { "id" : "ITEM-1", "itemData" : { "DOI" : "10.1021/ie800565z", "ISSN" : "0888-5885", "abstract" : "An important issue for optimal operation and plantwide control is to find the degrees of freedom available for optimal operation. A previously published systematic approach to determine the steady state degrees of freedom is expanded to take into account the active charge as a possible degree of freedom in cyclic processes. Additional degrees of freedom related to the composition of the circulating refrigerant are also discussed. Two liquified natural gas (LNG) processes of current interest, the C3MR process from Air Products and the mixed fluid cascade (MFC) process developed by Statoil-Linde LNG Technology Alliance, are studied with respect to operational degrees of freedom. \u00a9 2009 American Chemical Society.", "author" : [ { "dropping-particle" : "", "family" : "Jensen", "given" : "J\u00f8rgen Bauck", "non-dropping-particle" : "", "parse-names" : false, "suffix" : "" }, { "dropping-particle" : "", "family" : "Skogestad", "given" : "Sigurd", "non-dropping-particle" : "", "parse-names" : false, "suffix" : "" } ], "container-title" : "Industrial &amp; Engineering Chemistry Research", "id" : "ITEM-1", "issue" : "14", "issued" : { "date-parts" : [ [ "2009", "7", "15" ] ] }, "page" : "6652-6659", "publisher" : "American C</w:instrText>
      </w:r>
      <w:r w:rsidRPr="00C2415D">
        <w:instrText>hemical Society", "title" : "Steady-State Operational Degrees of Freedom with Application to Refrigeration Cycles", "type" : "article-journal", "volume" : "48" }, "uris" : [ "http://www.mendeley.com/documents/?uuid=20421bff-c9a1-4728-9908-cac76e4de619" ] }, { "id" : "ITEM-2", "itemData" : { "DOI" : "10.1021/ie801603j", "ISSN" : "0888-5885", "abstract" : "Inventory or material balance control is an important part of process control. In the literature, many rules have been proposed to help in designing such systems, but their justification is often unclear. The main contribution of this paper is to propose the more general local-consistency rule for evaluating inventory control systems. Consistency means that the steady-state mass balances (total, component, and phase) for the individual units and the overall plant are satisfied. In addition, local consistency is a desired property, meaning that the local mass balances are satisfied with local inventory loops only.\nInventory or material balance control is an important part of process control. In the literature, many rules have been proposed to help in designing such systems, but their justification is often unclear. The main contribution of t</w:instrText>
      </w:r>
      <w:r w:rsidRPr="00C2415D">
        <w:rPr>
          <w:lang w:val="en-US"/>
        </w:rPr>
        <w:instrText>his paper is to propose the more general local-consistency rule for evaluating inventory control systems. Consistency means that the steady-state mass balances (total, component, and phase) for the individual units and the overall plant are satisfied. In addition, local consistency is a desired property, meaning that the local mass balances are satisfied with local inventory loops only.", "author" : [ { "dropping-particle" : "", "family" : "Aske", "given" : "Elvira Marie B.", "non-dropping-particle" : "", "parse-names" : false, "suffix" : "" }, { "dropping-particle" : "", "family" : "Skogestad", "given" : "Sigurd", "non-dropping-particle" : "", "parse-names" : false, "suffix" : "" } ], "container-title" : "Industrial &amp; Engineering Chemistry Research", "id" : "ITEM-2", "issue" : "24", "issued" : { "date-parts" : [ [ "2009", "12", "16" ] ] }, "page" : "10892-10902", "publisher" : "American Chemical Society", "title" : "Consistent Inventory Control", "type" : "article-journal", "volume" : "48" }, "uris" : [ "http://www.mendeley.com/documents/?uuid=6a374997-0246-4ed7-af01-19b486700de6" ] } ], "mendeley" : { "formattedCitation" : "(Aske &amp; Skogestad, 2009; Jensen &amp; Skogestad, 2009)", "plainTextFormattedCitation" : "(Aske &amp; Skogestad, 2009; Jensen &amp; Skogestad, 2009)", "previouslyFormattedCitation" : "(Aske &amp; Skogestad, 2009; Jensen &amp; Skogestad, 2009)" }, "properties" : { "noteIndex" : 0 }, "schema" : "https://github.com/citation-style-language/schema/raw/master/csl-citation.json" }</w:instrText>
      </w:r>
      <w:r w:rsidRPr="00C2415D">
        <w:fldChar w:fldCharType="separate"/>
      </w:r>
      <w:r w:rsidRPr="00C2415D">
        <w:rPr>
          <w:noProof/>
          <w:lang w:val="en-US"/>
        </w:rPr>
        <w:t>(Aske &amp; Skogestad, 2009; Jensen &amp; Skogestad, 2009)</w:t>
      </w:r>
      <w:r w:rsidRPr="00C2415D">
        <w:fldChar w:fldCharType="end"/>
      </w:r>
      <w:r w:rsidRPr="00C2415D">
        <w:rPr>
          <w:lang w:val="en-US"/>
        </w:rPr>
        <w:t>.</w:t>
      </w:r>
    </w:p>
    <w:p w:rsidR="00C2415D" w:rsidRPr="00C2415D" w:rsidRDefault="00C2415D" w:rsidP="00C2415D">
      <w:pPr>
        <w:jc w:val="both"/>
        <w:rPr>
          <w:lang w:val="en-US"/>
        </w:rPr>
      </w:pPr>
      <w:r w:rsidRPr="00C2415D">
        <w:rPr>
          <w:lang w:val="en-US"/>
        </w:rPr>
        <w:t>Identifying the DOF for optimal operation is not always straightforward, partly because not all the physical DOF (“valves”) are used in the same way. Some DOF do not have steady state effect and these valves are only used for stabilization. Other DOF have a steady state effect and can be used for optimization; among these, some might be optimally constant.</w:t>
      </w:r>
    </w:p>
    <w:p w:rsidR="00C2415D" w:rsidRPr="00C2415D" w:rsidRDefault="00C2415D" w:rsidP="00C2415D">
      <w:pPr>
        <w:spacing w:before="240" w:after="240"/>
        <w:jc w:val="both"/>
        <w:rPr>
          <w:lang w:val="en-US"/>
        </w:rPr>
      </w:pPr>
      <w:r w:rsidRPr="00C2415D">
        <w:rPr>
          <w:lang w:val="en-US"/>
        </w:rPr>
        <w:t xml:space="preserve">The work proposed for this master thesis is to optimize the plant described by </w:t>
      </w:r>
      <w:r w:rsidRPr="00C2415D">
        <w:fldChar w:fldCharType="begin" w:fldLock="1"/>
      </w:r>
      <w:r w:rsidRPr="00C2415D">
        <w:rPr>
          <w:lang w:val="en-US"/>
        </w:rPr>
        <w:instrText>ADDIN CSL_CITATION { "citationItems" : [ { "id" : "ITEM-1", "itemData" : { "DOI" : "10.1016/j.jngse.2010.05.001", "ISSN" : "18755100", "abstract" : "A small-scale reliquefaction plant for natural gas boil-off gas from gas tankers has been developed, analysed and experimentally tested in laboratory and in full-scale. The reliquefaction plant is installed onboard a 10 000m3 gas carrier intended for transport of LNG between export and receiving terminals, initially in Scandinavia and in the Baltic Sea. Typical production capacity of a full-scale plant is 20tonnes of LNG per day. Standard refrigeration components, easily available as off the shelf products, are used in the system design. Copper brazed plate heat exchangers are among the key components. The combination of using a lubricant injected screw compressor and a mixed component refrigerant contributes to achieve relatively high energy efficiency. The gas carrier is also designed to carry other gases such as ethylene, LPG and VCM, and is therefore equipped with a newly developed ordinary cascade refrigeration plant. When the vessel is in LNG service the capacity of the cascade plant is used for precooling of LNG boil-off as well as for precooling of the mixed component refrigerant. A theoretical analysis of the plant shows a specific power consumption of 0.49kWh/kg LNG, corresponding to an exergy efficiency of 34%. The specific suction volume is 1.8m3/kg LNG with the current mixed refrigerant composition. The loss analysis shows several possible improvement possibilities. Successful full-scale tests have been performed, verifying the liquefaction capacity and operation of the plant.", "author" : [ { "dropping-particle" : "", "family" : "Neks\u00e5", "given" : "P.", "non-dropping-particle" : "", "parse-names" : false, "suffix" : "" }, { "dropping-particle" : "", "family" : "Brendeng", "given" : "E.", "non-dropping-particle" : "", "parse-names" : false, "suffix" : "" }, { "dropping-particle" : "", "family" : "Drescher", "given" : "M.", "non-dropping-particle" : "", "parse-names" : false, "suffix" : "" }, { "dropping-particle" : "", "family" : "Norberg", "given" : "B.", "non-dropping-particle" : "", "parse-names" : false, "suffix" : "" } ], "container-title" : "Journal of Natural Gas Science and Engineering", "id" : "ITEM-1", "issue" : "2-3", "issued" : { "date-parts" : [ [ "2010", "7" ] ] }, "page" : "143-149", "title" : "Development and analysis of a natural gas reliquefaction plant for small gas carriers", "type" : "article-journal", "volume" : "2" }, "uris" : [ "http://www.mendeley.com/documents/?uuid=95a37c3a-c798-46a3-8798-287c7e6da686" ] } ], "mendeley" : { "formattedCitation" : "(Neks\u00e5 et al. 2010)", "plainTextFormattedCitation" : "(Neks\u00e5 et al. 2010)", "previouslyFormattedCitation" : "(Neks\u00e5 et al. 2010)" }, "properties" : { "noteIndex" : 0 }, "schema" : "https://github.com/citation-style-language/schema/raw/master/csl-citation.json" }</w:instrText>
      </w:r>
      <w:r w:rsidRPr="00C2415D">
        <w:fldChar w:fldCharType="separate"/>
      </w:r>
      <w:r w:rsidRPr="00C2415D">
        <w:rPr>
          <w:noProof/>
          <w:lang w:val="en-US"/>
        </w:rPr>
        <w:t>(Nekså et al. 2010)</w:t>
      </w:r>
      <w:r w:rsidRPr="00C2415D">
        <w:fldChar w:fldCharType="end"/>
      </w:r>
      <w:r w:rsidRPr="00C2415D">
        <w:rPr>
          <w:lang w:val="en-US"/>
        </w:rPr>
        <w:t>. The student will use and probably improve a Matlab model that was developed during the specialization project. An important part of the analysis will be to identify the advantages and disadvantages of using the physical degrees of freedom in the mini LNG refrigeration cycle in different ways and to investigate the dynamic effects of the positioning of the TPM.</w:t>
      </w:r>
    </w:p>
    <w:p w:rsidR="00C2415D" w:rsidRPr="00C2415D" w:rsidRDefault="00C2415D" w:rsidP="00C2415D">
      <w:pPr>
        <w:jc w:val="both"/>
        <w:rPr>
          <w:lang w:val="en-US"/>
        </w:rPr>
      </w:pPr>
      <w:r w:rsidRPr="00C2415D">
        <w:rPr>
          <w:lang w:val="en-US"/>
        </w:rPr>
        <w:t>The student should have knowledge of optimization (QP, NLP). He/she should have experience using Matlab and preferably process simulators (e.g. HYSYS).</w:t>
      </w:r>
    </w:p>
    <w:p w:rsidR="00C2415D" w:rsidRPr="00C2415D" w:rsidRDefault="00C2415D" w:rsidP="00C2415D">
      <w:pPr>
        <w:jc w:val="both"/>
        <w:rPr>
          <w:lang w:val="en-US"/>
        </w:rPr>
      </w:pPr>
      <w:r w:rsidRPr="00C2415D">
        <w:rPr>
          <w:b/>
          <w:lang w:val="en-US"/>
        </w:rPr>
        <w:t>Reserved:</w:t>
      </w:r>
      <w:r w:rsidRPr="00C2415D">
        <w:rPr>
          <w:lang w:val="en-US"/>
        </w:rPr>
        <w:t xml:space="preserve"> Alexander </w:t>
      </w:r>
      <w:proofErr w:type="spellStart"/>
      <w:r w:rsidRPr="00C2415D">
        <w:rPr>
          <w:lang w:val="en-US"/>
        </w:rPr>
        <w:t>Leguizamón</w:t>
      </w:r>
      <w:proofErr w:type="spellEnd"/>
    </w:p>
    <w:p w:rsidR="00C2415D" w:rsidRPr="00C2415D" w:rsidRDefault="00C2415D" w:rsidP="00C2415D">
      <w:pPr>
        <w:jc w:val="both"/>
        <w:rPr>
          <w:b/>
          <w:lang w:val="en-US"/>
        </w:rPr>
      </w:pPr>
    </w:p>
    <w:p w:rsidR="00C2415D" w:rsidRPr="00C2415D" w:rsidRDefault="00C2415D" w:rsidP="00C2415D">
      <w:pPr>
        <w:jc w:val="both"/>
        <w:rPr>
          <w:b/>
          <w:lang w:val="en-US"/>
        </w:rPr>
      </w:pPr>
      <w:r w:rsidRPr="00C2415D">
        <w:rPr>
          <w:b/>
          <w:lang w:val="en-US"/>
        </w:rPr>
        <w:t>References:</w:t>
      </w:r>
    </w:p>
    <w:p w:rsidR="00C2415D" w:rsidRPr="00C2415D" w:rsidRDefault="00C2415D" w:rsidP="00C2415D">
      <w:pPr>
        <w:widowControl w:val="0"/>
        <w:autoSpaceDE w:val="0"/>
        <w:autoSpaceDN w:val="0"/>
        <w:adjustRightInd w:val="0"/>
        <w:spacing w:after="140" w:line="288" w:lineRule="auto"/>
        <w:ind w:left="480" w:hanging="480"/>
        <w:jc w:val="both"/>
        <w:rPr>
          <w:rFonts w:ascii="Calibri" w:hAnsi="Calibri" w:cs="Times New Roman"/>
          <w:noProof/>
          <w:lang w:val="en-US"/>
        </w:rPr>
      </w:pPr>
      <w:r w:rsidRPr="00C2415D">
        <w:fldChar w:fldCharType="begin" w:fldLock="1"/>
      </w:r>
      <w:r w:rsidRPr="00C2415D">
        <w:rPr>
          <w:lang w:val="en-US"/>
        </w:rPr>
        <w:instrText xml:space="preserve">ADDIN Mendeley Bibliography CSL_BIBLIOGRAPHY </w:instrText>
      </w:r>
      <w:r w:rsidRPr="00C2415D">
        <w:fldChar w:fldCharType="separate"/>
      </w:r>
      <w:r w:rsidRPr="00C2415D">
        <w:rPr>
          <w:rFonts w:ascii="Calibri" w:hAnsi="Calibri" w:cs="Times New Roman"/>
          <w:noProof/>
          <w:lang w:val="en-US"/>
        </w:rPr>
        <w:t xml:space="preserve">Aske, E. M. B., &amp; Skogestad, S. (2009). Consistent Inventory Control. </w:t>
      </w:r>
      <w:r w:rsidRPr="00C2415D">
        <w:rPr>
          <w:rFonts w:ascii="Calibri" w:hAnsi="Calibri" w:cs="Times New Roman"/>
          <w:i/>
          <w:iCs/>
          <w:noProof/>
          <w:lang w:val="en-US"/>
        </w:rPr>
        <w:t>Industrial &amp; Engineering Chemistry Research</w:t>
      </w:r>
      <w:r w:rsidRPr="00C2415D">
        <w:rPr>
          <w:rFonts w:ascii="Calibri" w:hAnsi="Calibri" w:cs="Times New Roman"/>
          <w:noProof/>
          <w:lang w:val="en-US"/>
        </w:rPr>
        <w:t xml:space="preserve">, </w:t>
      </w:r>
      <w:r w:rsidRPr="00C2415D">
        <w:rPr>
          <w:rFonts w:ascii="Calibri" w:hAnsi="Calibri" w:cs="Times New Roman"/>
          <w:i/>
          <w:iCs/>
          <w:noProof/>
          <w:lang w:val="en-US"/>
        </w:rPr>
        <w:t>48</w:t>
      </w:r>
      <w:r w:rsidRPr="00C2415D">
        <w:rPr>
          <w:rFonts w:ascii="Calibri" w:hAnsi="Calibri" w:cs="Times New Roman"/>
          <w:noProof/>
          <w:lang w:val="en-US"/>
        </w:rPr>
        <w:t>(24), 10892–10902. doi:10.1021/ie801603j</w:t>
      </w:r>
    </w:p>
    <w:p w:rsidR="00C2415D" w:rsidRPr="00C2415D" w:rsidRDefault="00C2415D" w:rsidP="00C2415D">
      <w:pPr>
        <w:widowControl w:val="0"/>
        <w:autoSpaceDE w:val="0"/>
        <w:autoSpaceDN w:val="0"/>
        <w:adjustRightInd w:val="0"/>
        <w:spacing w:after="140" w:line="288" w:lineRule="auto"/>
        <w:ind w:left="480" w:hanging="480"/>
        <w:jc w:val="both"/>
        <w:rPr>
          <w:rFonts w:ascii="Calibri" w:hAnsi="Calibri" w:cs="Times New Roman"/>
          <w:noProof/>
          <w:lang w:val="en-US"/>
        </w:rPr>
      </w:pPr>
      <w:r w:rsidRPr="00C2415D">
        <w:rPr>
          <w:rFonts w:ascii="Calibri" w:hAnsi="Calibri" w:cs="Times New Roman"/>
          <w:noProof/>
          <w:lang w:val="en-US"/>
        </w:rPr>
        <w:t xml:space="preserve">Jensen, J. B., &amp; Skogestad, S. (2009). Steady-State Operational Degrees of Freedom with Application to Refrigeration Cycles. </w:t>
      </w:r>
      <w:r w:rsidRPr="00C2415D">
        <w:rPr>
          <w:rFonts w:ascii="Calibri" w:hAnsi="Calibri" w:cs="Times New Roman"/>
          <w:i/>
          <w:iCs/>
          <w:noProof/>
          <w:lang w:val="en-US"/>
        </w:rPr>
        <w:t>Industrial &amp; Engineering Chemistry Research</w:t>
      </w:r>
      <w:r w:rsidRPr="00C2415D">
        <w:rPr>
          <w:rFonts w:ascii="Calibri" w:hAnsi="Calibri" w:cs="Times New Roman"/>
          <w:noProof/>
          <w:lang w:val="en-US"/>
        </w:rPr>
        <w:t xml:space="preserve">, </w:t>
      </w:r>
      <w:r w:rsidRPr="00C2415D">
        <w:rPr>
          <w:rFonts w:ascii="Calibri" w:hAnsi="Calibri" w:cs="Times New Roman"/>
          <w:i/>
          <w:iCs/>
          <w:noProof/>
          <w:lang w:val="en-US"/>
        </w:rPr>
        <w:t>48</w:t>
      </w:r>
      <w:r w:rsidRPr="00C2415D">
        <w:rPr>
          <w:rFonts w:ascii="Calibri" w:hAnsi="Calibri" w:cs="Times New Roman"/>
          <w:noProof/>
          <w:lang w:val="en-US"/>
        </w:rPr>
        <w:t>(14), 6652–6659. doi:10.1021/ie800565z</w:t>
      </w:r>
    </w:p>
    <w:p w:rsidR="00C2415D" w:rsidRPr="00C2415D" w:rsidRDefault="00C2415D" w:rsidP="00C2415D">
      <w:pPr>
        <w:pStyle w:val="NormalWeb"/>
        <w:ind w:left="480" w:hanging="480"/>
        <w:rPr>
          <w:rFonts w:ascii="Calibri" w:hAnsi="Calibri"/>
          <w:noProof/>
          <w:sz w:val="22"/>
          <w:szCs w:val="22"/>
        </w:rPr>
      </w:pPr>
      <w:r w:rsidRPr="00C2415D">
        <w:rPr>
          <w:rFonts w:ascii="Calibri" w:hAnsi="Calibri"/>
          <w:noProof/>
          <w:sz w:val="22"/>
          <w:szCs w:val="22"/>
        </w:rPr>
        <w:t xml:space="preserve">Nekså, P., E. Brendeng, M. Drescher, and B. Norberg. 2010. “Development and Analysis of a Natural Gas Reliquefaction Plant for Small Gas Carriers.” </w:t>
      </w:r>
      <w:r w:rsidRPr="00C2415D">
        <w:rPr>
          <w:rFonts w:ascii="Calibri" w:hAnsi="Calibri"/>
          <w:i/>
          <w:iCs/>
          <w:noProof/>
          <w:sz w:val="22"/>
          <w:szCs w:val="22"/>
        </w:rPr>
        <w:t>Journal of Natural Gas Science and Engineering</w:t>
      </w:r>
      <w:r w:rsidRPr="00C2415D">
        <w:rPr>
          <w:rFonts w:ascii="Calibri" w:hAnsi="Calibri"/>
          <w:noProof/>
          <w:sz w:val="22"/>
          <w:szCs w:val="22"/>
        </w:rPr>
        <w:t xml:space="preserve"> 2(2-3): 143–49. http://www.sciencedirect.com/science/article/pii/S1875510010000326 (January 20, 2015).</w:t>
      </w:r>
    </w:p>
    <w:p w:rsidR="00C2415D" w:rsidRPr="00C2415D" w:rsidRDefault="00C2415D" w:rsidP="00C2415D">
      <w:pPr>
        <w:pStyle w:val="NormalWeb"/>
        <w:ind w:left="480" w:hanging="480"/>
        <w:rPr>
          <w:rFonts w:ascii="Calibri" w:hAnsi="Calibri"/>
          <w:noProof/>
          <w:sz w:val="22"/>
          <w:szCs w:val="22"/>
        </w:rPr>
      </w:pPr>
      <w:r w:rsidRPr="00C2415D">
        <w:rPr>
          <w:rFonts w:ascii="Calibri" w:hAnsi="Calibri"/>
          <w:noProof/>
          <w:sz w:val="22"/>
          <w:szCs w:val="22"/>
        </w:rPr>
        <w:t xml:space="preserve">Skogestad, Sigurd. (2000). “Plantwide Control: The Search for the Self-Optimizing Control Structure.” </w:t>
      </w:r>
      <w:r w:rsidRPr="00C2415D">
        <w:rPr>
          <w:rFonts w:ascii="Calibri" w:hAnsi="Calibri"/>
          <w:i/>
          <w:iCs/>
          <w:noProof/>
          <w:sz w:val="22"/>
          <w:szCs w:val="22"/>
        </w:rPr>
        <w:t>Journal of Process Control</w:t>
      </w:r>
      <w:r w:rsidRPr="00C2415D">
        <w:rPr>
          <w:rFonts w:ascii="Calibri" w:hAnsi="Calibri"/>
          <w:noProof/>
          <w:sz w:val="22"/>
          <w:szCs w:val="22"/>
        </w:rPr>
        <w:t xml:space="preserve"> 10(5): 487–507. http://dx.doi.org/10.1016/S0959-1524(00)00023-8 (December 3, 2013).</w:t>
      </w:r>
    </w:p>
    <w:p w:rsidR="00C2415D" w:rsidRPr="00C2415D" w:rsidRDefault="00C2415D" w:rsidP="00C2415D">
      <w:pPr>
        <w:widowControl w:val="0"/>
        <w:autoSpaceDE w:val="0"/>
        <w:autoSpaceDN w:val="0"/>
        <w:adjustRightInd w:val="0"/>
        <w:spacing w:after="140" w:line="288" w:lineRule="auto"/>
        <w:ind w:left="480" w:hanging="480"/>
        <w:jc w:val="both"/>
        <w:rPr>
          <w:rFonts w:ascii="Calibri" w:hAnsi="Calibri"/>
          <w:noProof/>
        </w:rPr>
      </w:pPr>
      <w:r w:rsidRPr="00C2415D">
        <w:rPr>
          <w:rFonts w:ascii="Calibri" w:hAnsi="Calibri" w:cs="Times New Roman"/>
          <w:noProof/>
          <w:lang w:val="en-US"/>
        </w:rPr>
        <w:t xml:space="preserve">Skogestad, S. (2004). Control structure design for complete chemical plants. </w:t>
      </w:r>
      <w:r w:rsidRPr="00C2415D">
        <w:rPr>
          <w:rFonts w:ascii="Calibri" w:hAnsi="Calibri" w:cs="Times New Roman"/>
          <w:i/>
          <w:iCs/>
          <w:noProof/>
        </w:rPr>
        <w:t>Computers &amp; Chemical Engineering</w:t>
      </w:r>
      <w:r w:rsidRPr="00C2415D">
        <w:rPr>
          <w:rFonts w:ascii="Calibri" w:hAnsi="Calibri" w:cs="Times New Roman"/>
          <w:noProof/>
        </w:rPr>
        <w:t xml:space="preserve">, </w:t>
      </w:r>
      <w:r w:rsidRPr="00C2415D">
        <w:rPr>
          <w:rFonts w:ascii="Calibri" w:hAnsi="Calibri" w:cs="Times New Roman"/>
          <w:i/>
          <w:iCs/>
          <w:noProof/>
        </w:rPr>
        <w:t>28</w:t>
      </w:r>
      <w:r w:rsidRPr="00C2415D">
        <w:rPr>
          <w:rFonts w:ascii="Calibri" w:hAnsi="Calibri" w:cs="Times New Roman"/>
          <w:noProof/>
        </w:rPr>
        <w:t>(1-2), 219–234. doi:10.1016/j.compchemeng.2003.08.002</w:t>
      </w:r>
    </w:p>
    <w:p w:rsidR="00C2415D" w:rsidRPr="00C2415D" w:rsidRDefault="00C2415D" w:rsidP="00C2415D">
      <w:pPr>
        <w:jc w:val="both"/>
      </w:pPr>
      <w:r w:rsidRPr="00C2415D">
        <w:fldChar w:fldCharType="end"/>
      </w:r>
    </w:p>
    <w:p w:rsidR="00C2415D" w:rsidRPr="00C2415D" w:rsidRDefault="00C2415D" w:rsidP="00C2415D">
      <w:pPr>
        <w:jc w:val="both"/>
      </w:pPr>
    </w:p>
    <w:p w:rsidR="00C2415D" w:rsidRDefault="00C2415D">
      <w:pPr>
        <w:rPr>
          <w:lang w:val="en-US"/>
        </w:rPr>
      </w:pPr>
      <w:r>
        <w:rPr>
          <w:lang w:val="en-US"/>
        </w:rPr>
        <w:br w:type="page"/>
      </w:r>
    </w:p>
    <w:p w:rsidR="00C2415D" w:rsidRPr="00C2415D" w:rsidRDefault="00001F8B" w:rsidP="00C2415D">
      <w:proofErr w:type="spellStart"/>
      <w:r>
        <w:rPr>
          <w:b/>
          <w:bCs/>
        </w:rPr>
        <w:lastRenderedPageBreak/>
        <w:t>Title</w:t>
      </w:r>
      <w:proofErr w:type="spellEnd"/>
      <w:r>
        <w:rPr>
          <w:b/>
          <w:bCs/>
        </w:rPr>
        <w:t xml:space="preserve">: </w:t>
      </w:r>
      <w:r w:rsidR="00C2415D" w:rsidRPr="00C2415D">
        <w:rPr>
          <w:b/>
          <w:bCs/>
        </w:rPr>
        <w:t>Dynamisk regulering av anlegg for produksjon av flytende hydrogen</w:t>
      </w:r>
    </w:p>
    <w:p w:rsidR="00C2415D" w:rsidRPr="00C2415D" w:rsidRDefault="00C2415D" w:rsidP="00C2415D">
      <w:r w:rsidRPr="00C2415D">
        <w:t xml:space="preserve">Mye av vinden som blåser over Varangerhalvøya kan konverteres til elkraft, men det finnes ikke kapasitet i nettet for å eksportere kraften. Derimot har japansk industri vist interesse for å benytte denne strandede vindenergien til storskala hydrogenproduksjon og </w:t>
      </w:r>
      <w:proofErr w:type="gramStart"/>
      <w:r w:rsidRPr="00C2415D">
        <w:t>–eksport</w:t>
      </w:r>
      <w:proofErr w:type="gramEnd"/>
      <w:r w:rsidRPr="00C2415D">
        <w:t xml:space="preserve"> til Japan (gjerne via nordøstpassasjen).</w:t>
      </w:r>
    </w:p>
    <w:p w:rsidR="00C2415D" w:rsidRPr="00C2415D" w:rsidRDefault="00C2415D" w:rsidP="00C2415D">
      <w:r w:rsidRPr="00C2415D">
        <w:t>Hydrogen genereres av strøm og vann via elektrolyse, og så gjøres flytende for transport i store tankskip. Disse er i dag fortsatt ved konseptstadiet, men store industrikonsern som Kawasaki har vist interesse i idéen.</w:t>
      </w:r>
    </w:p>
    <w:p w:rsidR="00C2415D" w:rsidRPr="00C2415D" w:rsidRDefault="00C2415D" w:rsidP="00C2415D">
      <w:r w:rsidRPr="00C2415D">
        <w:t xml:space="preserve">Det ble nylig utviklet avanserte løsninger for anlegg for produksjon av flytende hydrogen, mest relevant i EU-prosjektet </w:t>
      </w:r>
      <w:proofErr w:type="spellStart"/>
      <w:r w:rsidRPr="00C2415D">
        <w:t>IdealHy</w:t>
      </w:r>
      <w:proofErr w:type="spellEnd"/>
      <w:r w:rsidRPr="00C2415D">
        <w:t>, som vil være startpunkt for oppgaven. SINTEF deltok i prosjektet med partnere som Shell, Linde, TU Dresden og Kawasaki, og kan gi tilgang til data, modeller og kontaktnettverk.</w:t>
      </w:r>
    </w:p>
    <w:p w:rsidR="00C2415D" w:rsidRPr="00C2415D" w:rsidRDefault="00C2415D" w:rsidP="00C2415D">
      <w:r w:rsidRPr="00C2415D">
        <w:t xml:space="preserve">Det er en kjent problematikk innad </w:t>
      </w:r>
      <w:proofErr w:type="spellStart"/>
      <w:r w:rsidRPr="00C2415D">
        <w:t>IdealHy</w:t>
      </w:r>
      <w:proofErr w:type="spellEnd"/>
      <w:r w:rsidRPr="00C2415D">
        <w:t xml:space="preserve"> at prosessen de utviklet er riktignok mye bedre enn tidligere metoder, men krever stasjonære betingelser. Dette er ikke realistisk i forbindelse med store vindparker, da deres effektproduksjon vil variere sterkt fra time til time, med kort eller ingen varsel i endringer.</w:t>
      </w:r>
    </w:p>
    <w:p w:rsidR="00C2415D" w:rsidRPr="00C2415D" w:rsidRDefault="00C2415D" w:rsidP="00C2415D">
      <w:r w:rsidRPr="00C2415D">
        <w:t xml:space="preserve">Oppgaven går altså </w:t>
      </w:r>
      <w:r>
        <w:t xml:space="preserve">ut </w:t>
      </w:r>
      <w:r w:rsidRPr="00C2415D">
        <w:t xml:space="preserve">på </w:t>
      </w:r>
      <w:proofErr w:type="gramStart"/>
      <w:r w:rsidRPr="00C2415D">
        <w:t>å</w:t>
      </w:r>
      <w:proofErr w:type="gramEnd"/>
      <w:r w:rsidRPr="00C2415D">
        <w:t>:</w:t>
      </w:r>
    </w:p>
    <w:p w:rsidR="00C2415D" w:rsidRPr="00C2415D" w:rsidRDefault="00C2415D" w:rsidP="00C2415D">
      <w:pPr>
        <w:pStyle w:val="ListParagraph"/>
        <w:ind w:hanging="360"/>
      </w:pPr>
      <w:proofErr w:type="gramStart"/>
      <w:r w:rsidRPr="00C2415D">
        <w:rPr>
          <w:rFonts w:ascii="Symbol" w:hAnsi="Symbol"/>
        </w:rPr>
        <w:t></w:t>
      </w:r>
      <w:r w:rsidRPr="00C2415D">
        <w:rPr>
          <w:rFonts w:ascii="Times New Roman" w:hAnsi="Times New Roman"/>
          <w:sz w:val="14"/>
          <w:szCs w:val="14"/>
        </w:rPr>
        <w:t xml:space="preserve">        </w:t>
      </w:r>
      <w:r w:rsidRPr="00C2415D">
        <w:t>Modellere</w:t>
      </w:r>
      <w:proofErr w:type="gramEnd"/>
      <w:r w:rsidRPr="00C2415D">
        <w:t xml:space="preserve"> et stort anlegg for hydrogenproduksjon, flytendegjøring og eksport, med basis i </w:t>
      </w:r>
      <w:proofErr w:type="spellStart"/>
      <w:r w:rsidRPr="00C2415D">
        <w:t>IdealHy</w:t>
      </w:r>
      <w:proofErr w:type="spellEnd"/>
      <w:r w:rsidRPr="00C2415D">
        <w:t>;</w:t>
      </w:r>
    </w:p>
    <w:p w:rsidR="00C2415D" w:rsidRPr="00C2415D" w:rsidRDefault="00C2415D" w:rsidP="00C2415D">
      <w:pPr>
        <w:pStyle w:val="ListParagraph"/>
        <w:ind w:left="1440" w:hanging="360"/>
      </w:pPr>
      <w:proofErr w:type="gramStart"/>
      <w:r w:rsidRPr="00C2415D">
        <w:rPr>
          <w:rFonts w:ascii="Courier New" w:hAnsi="Courier New" w:cs="Courier New"/>
        </w:rPr>
        <w:t>o</w:t>
      </w:r>
      <w:r w:rsidRPr="00C2415D">
        <w:rPr>
          <w:rFonts w:ascii="Times New Roman" w:hAnsi="Times New Roman"/>
          <w:sz w:val="14"/>
          <w:szCs w:val="14"/>
        </w:rPr>
        <w:t xml:space="preserve">   </w:t>
      </w:r>
      <w:r w:rsidRPr="00C2415D">
        <w:t>Programmeringsspråk</w:t>
      </w:r>
      <w:proofErr w:type="gramEnd"/>
      <w:r w:rsidRPr="00C2415D">
        <w:t xml:space="preserve"> kan være Python, </w:t>
      </w:r>
      <w:proofErr w:type="spellStart"/>
      <w:r w:rsidRPr="00C2415D">
        <w:t>Modelica</w:t>
      </w:r>
      <w:proofErr w:type="spellEnd"/>
      <w:r w:rsidRPr="00C2415D">
        <w:t xml:space="preserve">, </w:t>
      </w:r>
      <w:proofErr w:type="spellStart"/>
      <w:r w:rsidRPr="00C2415D">
        <w:t>Matlab</w:t>
      </w:r>
      <w:proofErr w:type="spellEnd"/>
      <w:r w:rsidRPr="00C2415D">
        <w:t xml:space="preserve"> eller hva kandidaten er best i.</w:t>
      </w:r>
    </w:p>
    <w:p w:rsidR="00C2415D" w:rsidRPr="00C2415D" w:rsidRDefault="00C2415D" w:rsidP="00C2415D">
      <w:pPr>
        <w:pStyle w:val="ListParagraph"/>
        <w:ind w:hanging="360"/>
      </w:pPr>
      <w:proofErr w:type="gramStart"/>
      <w:r w:rsidRPr="00C2415D">
        <w:rPr>
          <w:rFonts w:ascii="Symbol" w:hAnsi="Symbol"/>
        </w:rPr>
        <w:t></w:t>
      </w:r>
      <w:r w:rsidRPr="00C2415D">
        <w:rPr>
          <w:rFonts w:ascii="Times New Roman" w:hAnsi="Times New Roman"/>
          <w:sz w:val="14"/>
          <w:szCs w:val="14"/>
        </w:rPr>
        <w:t xml:space="preserve">        </w:t>
      </w:r>
      <w:r w:rsidRPr="00C2415D">
        <w:t>Gjøre</w:t>
      </w:r>
      <w:proofErr w:type="gramEnd"/>
      <w:r w:rsidRPr="00C2415D">
        <w:t xml:space="preserve"> de nødvendige endringer i modellen for å gjøre den dynamisk;</w:t>
      </w:r>
    </w:p>
    <w:p w:rsidR="00C2415D" w:rsidRPr="00C2415D" w:rsidRDefault="00C2415D" w:rsidP="00C2415D">
      <w:pPr>
        <w:pStyle w:val="ListParagraph"/>
        <w:ind w:hanging="360"/>
      </w:pPr>
      <w:proofErr w:type="gramStart"/>
      <w:r w:rsidRPr="00C2415D">
        <w:rPr>
          <w:rFonts w:ascii="Symbol" w:hAnsi="Symbol"/>
        </w:rPr>
        <w:t></w:t>
      </w:r>
      <w:r w:rsidRPr="00C2415D">
        <w:rPr>
          <w:rFonts w:ascii="Times New Roman" w:hAnsi="Times New Roman"/>
          <w:sz w:val="14"/>
          <w:szCs w:val="14"/>
        </w:rPr>
        <w:t xml:space="preserve">        </w:t>
      </w:r>
      <w:r w:rsidRPr="00C2415D">
        <w:t>Evaluere</w:t>
      </w:r>
      <w:proofErr w:type="gramEnd"/>
      <w:r w:rsidRPr="00C2415D">
        <w:t xml:space="preserve"> anleggets dynamiske egenskaper, spesielt med hensyn på raskt varierende tilgang på kraft;</w:t>
      </w:r>
    </w:p>
    <w:p w:rsidR="00C2415D" w:rsidRPr="00C2415D" w:rsidRDefault="00C2415D" w:rsidP="00C2415D">
      <w:pPr>
        <w:pStyle w:val="ListParagraph"/>
        <w:ind w:hanging="360"/>
      </w:pPr>
      <w:proofErr w:type="gramStart"/>
      <w:r w:rsidRPr="00C2415D">
        <w:rPr>
          <w:rFonts w:ascii="Symbol" w:hAnsi="Symbol"/>
        </w:rPr>
        <w:t></w:t>
      </w:r>
      <w:r w:rsidRPr="00C2415D">
        <w:rPr>
          <w:rFonts w:ascii="Times New Roman" w:hAnsi="Times New Roman"/>
          <w:sz w:val="14"/>
          <w:szCs w:val="14"/>
        </w:rPr>
        <w:t xml:space="preserve">        </w:t>
      </w:r>
      <w:r w:rsidRPr="00C2415D">
        <w:t>Definere</w:t>
      </w:r>
      <w:proofErr w:type="gramEnd"/>
      <w:r w:rsidRPr="00C2415D">
        <w:t xml:space="preserve"> en reguleringsstrategi som muliggjør dynamisk drift av anlegget, herunder anleggsmodifikasjoner som bufferenheter, valg av egnede enhetstyper (f.eks. PEM vs. alkaliske </w:t>
      </w:r>
      <w:proofErr w:type="spellStart"/>
      <w:r w:rsidRPr="00C2415D">
        <w:t>elektrolysører</w:t>
      </w:r>
      <w:proofErr w:type="spellEnd"/>
      <w:r w:rsidRPr="00C2415D">
        <w:t>), systemredundans / pålitelighet;</w:t>
      </w:r>
    </w:p>
    <w:p w:rsidR="00C2415D" w:rsidRPr="00C2415D" w:rsidRDefault="00C2415D" w:rsidP="00C2415D">
      <w:pPr>
        <w:pStyle w:val="ListParagraph"/>
        <w:ind w:hanging="360"/>
      </w:pPr>
      <w:proofErr w:type="gramStart"/>
      <w:r w:rsidRPr="00C2415D">
        <w:rPr>
          <w:rFonts w:ascii="Symbol" w:hAnsi="Symbol"/>
        </w:rPr>
        <w:t></w:t>
      </w:r>
      <w:r w:rsidRPr="00C2415D">
        <w:rPr>
          <w:rFonts w:ascii="Times New Roman" w:hAnsi="Times New Roman"/>
          <w:sz w:val="14"/>
          <w:szCs w:val="14"/>
        </w:rPr>
        <w:t xml:space="preserve">        </w:t>
      </w:r>
      <w:r w:rsidRPr="00C2415D">
        <w:t>Ta</w:t>
      </w:r>
      <w:proofErr w:type="gramEnd"/>
      <w:r w:rsidRPr="00C2415D">
        <w:t xml:space="preserve"> hensyn til sammenhengen i Varangerhalvøya: mulighet til å benytte lokal vannkraft for lagring, begrensninger på eksport, mm.</w:t>
      </w:r>
    </w:p>
    <w:p w:rsidR="00C2415D" w:rsidRPr="00C2415D" w:rsidRDefault="00C2415D" w:rsidP="00C2415D"/>
    <w:p w:rsidR="00C2415D" w:rsidRPr="00C2415D" w:rsidRDefault="00C2415D" w:rsidP="00C2415D">
      <w:r w:rsidRPr="00C2415D">
        <w:t>Oppgaven kan gjerne fokuseres på noen spesifikke områder etter kandidatens ønske (i samråd med veiledere).</w:t>
      </w:r>
    </w:p>
    <w:p w:rsidR="00C2415D" w:rsidRPr="00C2415D" w:rsidRDefault="00C2415D" w:rsidP="00C2415D"/>
    <w:p w:rsidR="00C2415D" w:rsidRPr="00C2415D" w:rsidRDefault="00C2415D" w:rsidP="00C2415D">
      <w:r w:rsidRPr="00C2415D">
        <w:rPr>
          <w:b/>
          <w:bCs/>
        </w:rPr>
        <w:t>Krav:</w:t>
      </w:r>
      <w:r w:rsidRPr="00C2415D">
        <w:t xml:space="preserve"> interesse for og kompetanse i dynamisk modellering / simulering, samt relevant erfaring i programmeringsspråk (hvilke er ikke så viktig, men </w:t>
      </w:r>
      <w:proofErr w:type="spellStart"/>
      <w:r w:rsidRPr="00C2415D">
        <w:t>Modelica</w:t>
      </w:r>
      <w:proofErr w:type="spellEnd"/>
      <w:r w:rsidRPr="00C2415D">
        <w:t xml:space="preserve"> er nok en fordel). Gode kunnskaper i engelsk da mye av dokumentasjonen er fra internasjonale prosjekter.</w:t>
      </w:r>
    </w:p>
    <w:p w:rsidR="00C2415D" w:rsidRPr="00C2415D" w:rsidRDefault="00C2415D" w:rsidP="00C2415D">
      <w:r w:rsidRPr="00C2415D">
        <w:rPr>
          <w:b/>
          <w:bCs/>
        </w:rPr>
        <w:t>Faglærer:</w:t>
      </w:r>
      <w:r w:rsidRPr="00C2415D">
        <w:t xml:space="preserve"> </w:t>
      </w:r>
      <w:r>
        <w:t xml:space="preserve">Sigurd </w:t>
      </w:r>
      <w:proofErr w:type="spellStart"/>
      <w:r>
        <w:t>Skogestad</w:t>
      </w:r>
      <w:proofErr w:type="spellEnd"/>
    </w:p>
    <w:p w:rsidR="00001F8B" w:rsidRPr="00001F8B" w:rsidRDefault="00C2415D" w:rsidP="00001F8B">
      <w:proofErr w:type="spellStart"/>
      <w:r w:rsidRPr="00C2415D">
        <w:rPr>
          <w:b/>
          <w:bCs/>
        </w:rPr>
        <w:t>Medveiledere</w:t>
      </w:r>
      <w:proofErr w:type="spellEnd"/>
      <w:r w:rsidRPr="00C2415D">
        <w:rPr>
          <w:b/>
          <w:bCs/>
        </w:rPr>
        <w:t>:</w:t>
      </w:r>
      <w:r w:rsidRPr="00C2415D">
        <w:t xml:space="preserve"> Steffen Møller-Holst, Markedsdirektør for hydrogen i SINTEF; Federico </w:t>
      </w:r>
      <w:proofErr w:type="spellStart"/>
      <w:r w:rsidRPr="00C2415D">
        <w:t>Zenith</w:t>
      </w:r>
      <w:proofErr w:type="spellEnd"/>
      <w:r w:rsidRPr="00C2415D">
        <w:t xml:space="preserve">, </w:t>
      </w:r>
      <w:r w:rsidR="00001F8B" w:rsidRPr="00001F8B">
        <w:t>seniorforsker i SINTEF.</w:t>
      </w:r>
    </w:p>
    <w:p w:rsidR="0034788D" w:rsidRPr="00001F8B" w:rsidRDefault="0034788D" w:rsidP="00001F8B"/>
    <w:sectPr w:rsidR="0034788D" w:rsidRPr="00001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331"/>
    <w:multiLevelType w:val="hybridMultilevel"/>
    <w:tmpl w:val="8034ED76"/>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0BD0127"/>
    <w:multiLevelType w:val="hybridMultilevel"/>
    <w:tmpl w:val="91E8F8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E565531"/>
    <w:multiLevelType w:val="hybridMultilevel"/>
    <w:tmpl w:val="E42E61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5D"/>
    <w:rsid w:val="00001F8B"/>
    <w:rsid w:val="0034788D"/>
    <w:rsid w:val="00C2415D"/>
    <w:rsid w:val="00C50C36"/>
    <w:rsid w:val="00E60C8F"/>
    <w:rsid w:val="00FA68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15D"/>
    <w:pPr>
      <w:spacing w:after="0" w:line="240" w:lineRule="auto"/>
      <w:ind w:left="720"/>
    </w:pPr>
    <w:rPr>
      <w:rFonts w:ascii="Calibri" w:hAnsi="Calibri" w:cs="Calibri"/>
      <w:lang w:eastAsia="nb-NO"/>
    </w:rPr>
  </w:style>
  <w:style w:type="paragraph" w:styleId="Caption">
    <w:name w:val="caption"/>
    <w:basedOn w:val="Normal"/>
    <w:next w:val="Normal"/>
    <w:uiPriority w:val="35"/>
    <w:unhideWhenUsed/>
    <w:qFormat/>
    <w:rsid w:val="00C2415D"/>
    <w:pPr>
      <w:spacing w:line="240" w:lineRule="auto"/>
      <w:ind w:firstLine="284"/>
      <w:jc w:val="center"/>
    </w:pPr>
    <w:rPr>
      <w:rFonts w:ascii="Helvetica" w:hAnsi="Helvetica"/>
      <w:b/>
      <w:bCs/>
      <w:sz w:val="20"/>
      <w:szCs w:val="18"/>
    </w:rPr>
  </w:style>
  <w:style w:type="character" w:styleId="Hyperlink">
    <w:name w:val="Hyperlink"/>
    <w:basedOn w:val="DefaultParagraphFont"/>
    <w:uiPriority w:val="99"/>
    <w:unhideWhenUsed/>
    <w:rsid w:val="00C2415D"/>
    <w:rPr>
      <w:color w:val="0000FF" w:themeColor="hyperlink"/>
      <w:u w:val="single"/>
    </w:rPr>
  </w:style>
  <w:style w:type="paragraph" w:styleId="BalloonText">
    <w:name w:val="Balloon Text"/>
    <w:basedOn w:val="Normal"/>
    <w:link w:val="BalloonTextChar"/>
    <w:uiPriority w:val="99"/>
    <w:semiHidden/>
    <w:unhideWhenUsed/>
    <w:rsid w:val="00C2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15D"/>
    <w:rPr>
      <w:rFonts w:ascii="Tahoma" w:hAnsi="Tahoma" w:cs="Tahoma"/>
      <w:sz w:val="16"/>
      <w:szCs w:val="16"/>
    </w:rPr>
  </w:style>
  <w:style w:type="paragraph" w:styleId="NormalWeb">
    <w:name w:val="Normal (Web)"/>
    <w:basedOn w:val="Normal"/>
    <w:uiPriority w:val="99"/>
    <w:semiHidden/>
    <w:unhideWhenUsed/>
    <w:rsid w:val="00C2415D"/>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15D"/>
    <w:pPr>
      <w:spacing w:after="0" w:line="240" w:lineRule="auto"/>
      <w:ind w:left="720"/>
    </w:pPr>
    <w:rPr>
      <w:rFonts w:ascii="Calibri" w:hAnsi="Calibri" w:cs="Calibri"/>
      <w:lang w:eastAsia="nb-NO"/>
    </w:rPr>
  </w:style>
  <w:style w:type="paragraph" w:styleId="Caption">
    <w:name w:val="caption"/>
    <w:basedOn w:val="Normal"/>
    <w:next w:val="Normal"/>
    <w:uiPriority w:val="35"/>
    <w:unhideWhenUsed/>
    <w:qFormat/>
    <w:rsid w:val="00C2415D"/>
    <w:pPr>
      <w:spacing w:line="240" w:lineRule="auto"/>
      <w:ind w:firstLine="284"/>
      <w:jc w:val="center"/>
    </w:pPr>
    <w:rPr>
      <w:rFonts w:ascii="Helvetica" w:hAnsi="Helvetica"/>
      <w:b/>
      <w:bCs/>
      <w:sz w:val="20"/>
      <w:szCs w:val="18"/>
    </w:rPr>
  </w:style>
  <w:style w:type="character" w:styleId="Hyperlink">
    <w:name w:val="Hyperlink"/>
    <w:basedOn w:val="DefaultParagraphFont"/>
    <w:uiPriority w:val="99"/>
    <w:unhideWhenUsed/>
    <w:rsid w:val="00C2415D"/>
    <w:rPr>
      <w:color w:val="0000FF" w:themeColor="hyperlink"/>
      <w:u w:val="single"/>
    </w:rPr>
  </w:style>
  <w:style w:type="paragraph" w:styleId="BalloonText">
    <w:name w:val="Balloon Text"/>
    <w:basedOn w:val="Normal"/>
    <w:link w:val="BalloonTextChar"/>
    <w:uiPriority w:val="99"/>
    <w:semiHidden/>
    <w:unhideWhenUsed/>
    <w:rsid w:val="00C2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15D"/>
    <w:rPr>
      <w:rFonts w:ascii="Tahoma" w:hAnsi="Tahoma" w:cs="Tahoma"/>
      <w:sz w:val="16"/>
      <w:szCs w:val="16"/>
    </w:rPr>
  </w:style>
  <w:style w:type="paragraph" w:styleId="NormalWeb">
    <w:name w:val="Normal (Web)"/>
    <w:basedOn w:val="Normal"/>
    <w:uiPriority w:val="99"/>
    <w:semiHidden/>
    <w:unhideWhenUsed/>
    <w:rsid w:val="00C2415D"/>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9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n.straus@ntnu.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3201</Words>
  <Characters>16969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Skogestad</dc:creator>
  <cp:lastModifiedBy>Sigurd Skogestad</cp:lastModifiedBy>
  <cp:revision>1</cp:revision>
  <dcterms:created xsi:type="dcterms:W3CDTF">2015-11-17T15:21:00Z</dcterms:created>
  <dcterms:modified xsi:type="dcterms:W3CDTF">2015-11-17T15:45:00Z</dcterms:modified>
</cp:coreProperties>
</file>